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9D4" w:rsidRDefault="00DD79D4">
      <w:pPr>
        <w:tabs>
          <w:tab w:val="left" w:pos="284"/>
        </w:tabs>
        <w:rPr>
          <w:sz w:val="22"/>
        </w:rPr>
      </w:pPr>
    </w:p>
    <w:p w:rsidR="00DD79D4" w:rsidRDefault="008A2851">
      <w:pPr>
        <w:spacing w:line="260" w:lineRule="exact"/>
        <w:ind w:firstLine="709"/>
        <w:jc w:val="center"/>
        <w:rPr>
          <w:b/>
        </w:rPr>
      </w:pPr>
      <w:r>
        <w:rPr>
          <w:b/>
        </w:rPr>
        <w:t>Техническое задание</w:t>
      </w:r>
    </w:p>
    <w:p w:rsidR="00DD79D4" w:rsidRDefault="008A2851">
      <w:pPr>
        <w:jc w:val="center"/>
      </w:pPr>
      <w:r>
        <w:t>на выполнение работ по установке технических средств организации дорожного движения и элементов обустройства дорог регионального и межмуниципального значения в Самарской области</w:t>
      </w:r>
    </w:p>
    <w:p w:rsidR="00DD79D4" w:rsidRDefault="00DD79D4">
      <w:pPr>
        <w:tabs>
          <w:tab w:val="left" w:pos="9356"/>
        </w:tabs>
        <w:spacing w:line="360" w:lineRule="exact"/>
        <w:contextualSpacing/>
        <w:jc w:val="center"/>
      </w:pPr>
    </w:p>
    <w:p w:rsidR="00DD79D4" w:rsidRDefault="008A2851">
      <w:pPr>
        <w:spacing w:line="360" w:lineRule="exact"/>
        <w:ind w:firstLine="709"/>
        <w:jc w:val="both"/>
        <w:rPr>
          <w:b/>
        </w:rPr>
      </w:pPr>
      <w:r>
        <w:rPr>
          <w:b/>
          <w:spacing w:val="-2"/>
        </w:rPr>
        <w:t xml:space="preserve">1. </w:t>
      </w:r>
      <w:bookmarkStart w:id="0" w:name="_Hlk156392453"/>
      <w:r>
        <w:rPr>
          <w:b/>
          <w:spacing w:val="-2"/>
        </w:rPr>
        <w:t>Н</w:t>
      </w:r>
      <w:r>
        <w:rPr>
          <w:b/>
        </w:rPr>
        <w:t>а</w:t>
      </w:r>
      <w:r>
        <w:rPr>
          <w:b/>
          <w:spacing w:val="1"/>
        </w:rPr>
        <w:t>им</w:t>
      </w:r>
      <w:r>
        <w:rPr>
          <w:b/>
          <w:spacing w:val="-2"/>
        </w:rPr>
        <w:t>е</w:t>
      </w:r>
      <w:r>
        <w:rPr>
          <w:b/>
          <w:spacing w:val="1"/>
        </w:rPr>
        <w:t>н</w:t>
      </w:r>
      <w:r>
        <w:rPr>
          <w:b/>
        </w:rPr>
        <w:t>ова</w:t>
      </w:r>
      <w:r>
        <w:rPr>
          <w:b/>
          <w:spacing w:val="2"/>
        </w:rPr>
        <w:t>н</w:t>
      </w:r>
      <w:r>
        <w:rPr>
          <w:b/>
          <w:spacing w:val="1"/>
        </w:rPr>
        <w:t>и</w:t>
      </w:r>
      <w:r>
        <w:rPr>
          <w:b/>
        </w:rPr>
        <w:t xml:space="preserve">е </w:t>
      </w:r>
      <w:r>
        <w:rPr>
          <w:b/>
          <w:spacing w:val="1"/>
        </w:rPr>
        <w:t>р</w:t>
      </w:r>
      <w:r>
        <w:rPr>
          <w:b/>
        </w:rPr>
        <w:t>або</w:t>
      </w:r>
      <w:r>
        <w:rPr>
          <w:b/>
          <w:spacing w:val="6"/>
        </w:rPr>
        <w:t>т</w:t>
      </w:r>
      <w:r>
        <w:rPr>
          <w:b/>
        </w:rPr>
        <w:t xml:space="preserve"> </w:t>
      </w:r>
      <w:bookmarkEnd w:id="0"/>
      <w:r>
        <w:rPr>
          <w:b/>
        </w:rPr>
        <w:t>-</w:t>
      </w:r>
      <w:r>
        <w:t xml:space="preserve"> </w:t>
      </w:r>
      <w:bookmarkStart w:id="1" w:name="_Hlk156392461"/>
      <w:r>
        <w:t xml:space="preserve">выполнение </w:t>
      </w:r>
      <w:bookmarkEnd w:id="1"/>
      <w:r>
        <w:t xml:space="preserve">работ по установке </w:t>
      </w:r>
      <w:r>
        <w:t>технических средств организации дорожного движения и элементов обустройства на автомобильных дорогах регионального и межмуниципального значения в Самарской области.</w:t>
      </w:r>
    </w:p>
    <w:p w:rsidR="00DD79D4" w:rsidRDefault="008A2851">
      <w:pPr>
        <w:spacing w:line="360" w:lineRule="exact"/>
        <w:ind w:firstLine="709"/>
        <w:jc w:val="both"/>
        <w:rPr>
          <w:b/>
        </w:rPr>
      </w:pPr>
      <w:r>
        <w:rPr>
          <w:b/>
        </w:rPr>
        <w:t xml:space="preserve">2. </w:t>
      </w:r>
      <w:bookmarkStart w:id="2" w:name="_Hlk156392527"/>
      <w:r>
        <w:rPr>
          <w:b/>
          <w:spacing w:val="-2"/>
        </w:rPr>
        <w:t>Мес</w:t>
      </w:r>
      <w:r>
        <w:rPr>
          <w:b/>
          <w:spacing w:val="2"/>
        </w:rPr>
        <w:t>т</w:t>
      </w:r>
      <w:r>
        <w:rPr>
          <w:b/>
        </w:rPr>
        <w:t>о в</w:t>
      </w:r>
      <w:r>
        <w:rPr>
          <w:b/>
          <w:spacing w:val="3"/>
        </w:rPr>
        <w:t>ы</w:t>
      </w:r>
      <w:r>
        <w:rPr>
          <w:b/>
          <w:spacing w:val="1"/>
        </w:rPr>
        <w:t>п</w:t>
      </w:r>
      <w:r>
        <w:rPr>
          <w:b/>
        </w:rPr>
        <w:t>ол</w:t>
      </w:r>
      <w:r>
        <w:rPr>
          <w:b/>
          <w:spacing w:val="2"/>
        </w:rPr>
        <w:t>н</w:t>
      </w:r>
      <w:r>
        <w:rPr>
          <w:b/>
          <w:spacing w:val="-2"/>
        </w:rPr>
        <w:t>е</w:t>
      </w:r>
      <w:r>
        <w:rPr>
          <w:b/>
          <w:spacing w:val="1"/>
        </w:rPr>
        <w:t>ни</w:t>
      </w:r>
      <w:r>
        <w:rPr>
          <w:b/>
        </w:rPr>
        <w:t>я</w:t>
      </w:r>
      <w:r>
        <w:rPr>
          <w:b/>
          <w:spacing w:val="-5"/>
        </w:rPr>
        <w:t xml:space="preserve"> </w:t>
      </w:r>
      <w:r>
        <w:rPr>
          <w:b/>
          <w:spacing w:val="1"/>
        </w:rPr>
        <w:t>р</w:t>
      </w:r>
      <w:r>
        <w:rPr>
          <w:b/>
        </w:rPr>
        <w:t>або</w:t>
      </w:r>
      <w:r>
        <w:rPr>
          <w:b/>
          <w:spacing w:val="6"/>
        </w:rPr>
        <w:t>т</w:t>
      </w:r>
      <w:r>
        <w:rPr>
          <w:b/>
        </w:rPr>
        <w:t>:</w:t>
      </w:r>
      <w:r>
        <w:rPr>
          <w:spacing w:val="-1"/>
        </w:rPr>
        <w:t xml:space="preserve"> </w:t>
      </w:r>
      <w:bookmarkStart w:id="3" w:name="_Hlk156392539"/>
      <w:bookmarkEnd w:id="2"/>
      <w:r>
        <w:t xml:space="preserve">автомобильные дороги регионального и межмуниципального значения </w:t>
      </w:r>
      <w:r>
        <w:t>Самарской области</w:t>
      </w:r>
      <w:bookmarkEnd w:id="3"/>
      <w:r>
        <w:t>.</w:t>
      </w:r>
    </w:p>
    <w:p w:rsidR="00DD79D4" w:rsidRDefault="008A2851">
      <w:pPr>
        <w:spacing w:line="360" w:lineRule="exact"/>
        <w:ind w:firstLine="709"/>
        <w:jc w:val="both"/>
        <w:rPr>
          <w:b/>
        </w:rPr>
      </w:pPr>
      <w:r>
        <w:rPr>
          <w:b/>
        </w:rPr>
        <w:t xml:space="preserve">3. </w:t>
      </w:r>
      <w:bookmarkStart w:id="4" w:name="_Hlk156392684"/>
      <w:r>
        <w:rPr>
          <w:b/>
        </w:rPr>
        <w:t xml:space="preserve">Срок выполнения работ: </w:t>
      </w:r>
      <w:r>
        <w:t>с даты заключения договора по 15.12.2026 г.</w:t>
      </w:r>
      <w:bookmarkEnd w:id="4"/>
    </w:p>
    <w:p w:rsidR="00DD79D4" w:rsidRDefault="008A2851">
      <w:pPr>
        <w:spacing w:line="360" w:lineRule="exact"/>
        <w:ind w:firstLine="709"/>
        <w:jc w:val="both"/>
        <w:rPr>
          <w:b/>
        </w:rPr>
      </w:pPr>
      <w:r>
        <w:rPr>
          <w:b/>
        </w:rPr>
        <w:t>4. Т</w:t>
      </w:r>
      <w:r>
        <w:rPr>
          <w:b/>
          <w:spacing w:val="1"/>
        </w:rPr>
        <w:t>р</w:t>
      </w:r>
      <w:r>
        <w:rPr>
          <w:b/>
          <w:spacing w:val="-2"/>
        </w:rPr>
        <w:t>е</w:t>
      </w:r>
      <w:r>
        <w:rPr>
          <w:b/>
        </w:rPr>
        <w:t>бова</w:t>
      </w:r>
      <w:r>
        <w:rPr>
          <w:b/>
          <w:spacing w:val="2"/>
        </w:rPr>
        <w:t>н</w:t>
      </w:r>
      <w:r>
        <w:rPr>
          <w:b/>
          <w:spacing w:val="1"/>
        </w:rPr>
        <w:t>и</w:t>
      </w:r>
      <w:r>
        <w:rPr>
          <w:b/>
        </w:rPr>
        <w:t>я к</w:t>
      </w:r>
      <w:r>
        <w:rPr>
          <w:b/>
          <w:spacing w:val="2"/>
        </w:rPr>
        <w:t xml:space="preserve"> </w:t>
      </w:r>
      <w:r>
        <w:rPr>
          <w:b/>
          <w:spacing w:val="1"/>
        </w:rPr>
        <w:t>р</w:t>
      </w:r>
      <w:r>
        <w:rPr>
          <w:b/>
        </w:rPr>
        <w:t>аб</w:t>
      </w:r>
      <w:r>
        <w:rPr>
          <w:b/>
          <w:spacing w:val="-5"/>
        </w:rPr>
        <w:t>о</w:t>
      </w:r>
      <w:r>
        <w:rPr>
          <w:b/>
          <w:spacing w:val="2"/>
        </w:rPr>
        <w:t>т</w:t>
      </w:r>
      <w:r>
        <w:rPr>
          <w:b/>
        </w:rPr>
        <w:t>а</w:t>
      </w:r>
      <w:r>
        <w:rPr>
          <w:b/>
          <w:spacing w:val="4"/>
        </w:rPr>
        <w:t>м</w:t>
      </w:r>
      <w:r>
        <w:rPr>
          <w:b/>
        </w:rPr>
        <w:t>: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4.1. Настоящее Техническим заданием устанавливает совокупность организационных и технических требований к выполнению работ, целью которых явля</w:t>
      </w:r>
      <w:r>
        <w:t>ется повышение уровня безопасности дорожного движения.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4.2 Подрядчик выполняет работы на основании писем от Заказчика.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 xml:space="preserve">4.3. Ведомость работ, применяемых материалов и оборудования указана в приложении 1 к техническому заданию. 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4.4. До начала приемки объект</w:t>
      </w:r>
      <w:r>
        <w:t>а в эксплуатацию Подрядчик передает Заказчику исполнительную документацию (на бумажном и электронных носителях), в том числе: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- журнал производства работ;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- акты освидетельствования скрытых работ и акты освидетельствования ответственных конструкций (при не</w:t>
      </w:r>
      <w:r>
        <w:t>обходимости);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>- сертификаты, паспорта качества, протоколы испытаний оборудования, оригиналы паспортов и инструкции по эксплуатации применяемого оборудования (при необходимости).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 xml:space="preserve">4.5. Подрядчик несет ответственность за качество используемых материалов и их </w:t>
      </w:r>
      <w:r>
        <w:t>соответствие существующим требованиям. Применяемые материалы должны соответствовать государственным стандартам, иметь сертификаты, паспорта и (или) другие документы, удостоверяющие качество материалов.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 xml:space="preserve">4.6 Все применяемое оборудование, изделия и материалы </w:t>
      </w:r>
      <w:r>
        <w:t>должны быть новыми, не бывшими в эксплуатации, не восстановленными и не собранными из восстановленных компонентов.</w:t>
      </w:r>
    </w:p>
    <w:p w:rsidR="00DD79D4" w:rsidRDefault="008A2851">
      <w:pPr>
        <w:tabs>
          <w:tab w:val="left" w:pos="0"/>
          <w:tab w:val="left" w:pos="284"/>
          <w:tab w:val="left" w:pos="1701"/>
        </w:tabs>
        <w:spacing w:line="360" w:lineRule="exact"/>
        <w:ind w:firstLine="709"/>
        <w:contextualSpacing/>
        <w:jc w:val="both"/>
      </w:pPr>
      <w:r>
        <w:t xml:space="preserve">4.7. При выполнении работ на проезжей части автомобильной дороги Подрядчик обязан обеспечить безопасность движения транспорта и пешеходов во </w:t>
      </w:r>
      <w:r>
        <w:t>время производства работ в соответствии с требованиями ГОСТ Р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ОДМ 218.6.019-</w:t>
      </w:r>
      <w:r>
        <w:t>2016 «Рекомендации по организации движения и ограждению мест производства дорожных работ».</w:t>
      </w:r>
    </w:p>
    <w:p w:rsidR="00DD79D4" w:rsidRDefault="008A2851">
      <w:pPr>
        <w:spacing w:line="276" w:lineRule="auto"/>
        <w:ind w:firstLine="851"/>
        <w:contextualSpacing/>
        <w:jc w:val="both"/>
      </w:pPr>
      <w:r>
        <w:t xml:space="preserve">4.8. Гарантия качества выполняемых работ, в том числе на используемые в работе материалы, товар, используемый при выполнении работ, предоставляется в полном объеме, </w:t>
      </w:r>
      <w:r>
        <w:t xml:space="preserve">подтверждает соблюдение технологии производства, действующих норм и правил и составляет 2 </w:t>
      </w:r>
      <w:r>
        <w:lastRenderedPageBreak/>
        <w:t xml:space="preserve">(два) года с момента подписания документа о приемке выполненных работ. Гарантийный срок эксплуатации дорожных знаков не менее 7 (семи) лет. </w:t>
      </w:r>
    </w:p>
    <w:p w:rsidR="00DD79D4" w:rsidRDefault="00DD79D4">
      <w:pPr>
        <w:spacing w:line="360" w:lineRule="exact"/>
        <w:ind w:firstLine="709"/>
        <w:jc w:val="both"/>
        <w:rPr>
          <w:b/>
        </w:rPr>
      </w:pPr>
    </w:p>
    <w:p w:rsidR="00DD79D4" w:rsidRDefault="008A2851">
      <w:pPr>
        <w:spacing w:line="360" w:lineRule="exact"/>
        <w:ind w:firstLine="709"/>
        <w:jc w:val="both"/>
        <w:rPr>
          <w:b/>
        </w:rPr>
      </w:pPr>
      <w:r>
        <w:rPr>
          <w:b/>
        </w:rPr>
        <w:t xml:space="preserve">5. Требования к </w:t>
      </w:r>
      <w:r>
        <w:rPr>
          <w:b/>
        </w:rPr>
        <w:t>оборудованию и материалам: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5.1. Технические требования к дорожным светофорам.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jc w:val="both"/>
      </w:pPr>
      <w:r>
        <w:t>Дорожные светофоры должны соответствовать требованиями ГОСТ Р 52282-2004, ГОСТ 33385-2015, ГОСТ 33386-2015, а их размещение и режим работы – требованиям ГОСТ Р 52289-2019.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jc w:val="both"/>
      </w:pPr>
      <w:r>
        <w:t>Светофоры должны быть устойчивы к повышенной влажности, солнечному излучению, ветровой нагрузке. Конструкция корпуса светофоров должна быть ударопрочной, химически стойкими и должны обеспечивать стабильность параметров, предусмотренных ГОСТ Р 52282-2004.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t>В</w:t>
      </w:r>
      <w:r>
        <w:t>се детали и сборочные единицы светофоров и секций должны быть изготовлены из антикоррозионных материалов или иметь защитное покрытие по ГОСТ 35094-2024, в том числе крепежные элементы.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5.1.1. Светофоры типа Т.1.2., Т.2.2., Т.1.</w:t>
      </w:r>
      <w:proofErr w:type="gramStart"/>
      <w:r>
        <w:rPr>
          <w:b/>
        </w:rPr>
        <w:t>2.ПЛК</w:t>
      </w:r>
      <w:proofErr w:type="gramEnd"/>
      <w:r>
        <w:rPr>
          <w:b/>
        </w:rPr>
        <w:t>, Т.1.2ЛК, Т.1.2.ПК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Клим</w:t>
      </w:r>
      <w:r>
        <w:t>атическое исполнение: УХЛ, категория размещения - 1;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Класс защиты от поражения электрическим током - II;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Степень защиты от воздействия внешних факторов по светодиодному модулю / по корпусу IP54/23 в соответствии с ГОСТ 14254-2015;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</w:t>
      </w:r>
      <w:r>
        <w:t>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Относительная влажность при температуре 25ºС 100%;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220В/12В/24В;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Частота питающего напряжения 50Гц ± 1%;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Потребляемая мощность одной секции не более: 9 Вт;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- не ограничено;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Гарантийный срок служ</w:t>
      </w:r>
      <w:r>
        <w:t>бы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 срок службы источника света не менее 10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Диаметр апертуры, мм 300.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5.1.2. Светофор Т.3, Т.3.ЛК, Т.3.ПК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Класс защиты от поражения электрическим током – II;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Степень защиты от воздействия внешних факторов по светодиодному модулю / по ко</w:t>
      </w:r>
      <w:r>
        <w:t>рпусу IP54/23 в соответствии с ГОСТ 14254-2015;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Относительная влажность при температуре 25ºС 100%;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220В/12В/24В;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Частота питающего напряжения 50Гц ± 1%;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 xml:space="preserve">Потребляемая мощность одной секции не </w:t>
      </w:r>
      <w:r>
        <w:t>более: 9 Вт;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не ограничено;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lastRenderedPageBreak/>
        <w:t>Гарантийный срок службы не менее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 срок службы источника света не менее 10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Диаметр апертуры, мм 100.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5.1.3. Светофор Т.5.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Класс защиты от поражения электрическим током – II;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Степень за</w:t>
      </w:r>
      <w:r>
        <w:t>щиты от воздействия внешних факторов по светодиодному модулю / по корпусу IP54/23 в соответствии с ГОСТ 14254-2015;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Относительная влажность при температуре 25ºС 100%;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220В/12В/24В;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Частота питаю</w:t>
      </w:r>
      <w:r>
        <w:t>щего напряжения 50Гц ± 1%;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Потребляемая мощность одной секции не более: 9 Вт;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не ограничено;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Гарантийный срок службы не менее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 срок службы источника света не менее 10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Диаметр апертуры, мм 500/350/42.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5.1.4. Свет</w:t>
      </w:r>
      <w:r>
        <w:rPr>
          <w:b/>
        </w:rPr>
        <w:t>офор П.1.2.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Класс защиты от поражения электрическим током – II;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Степень защиты от воздействия внешних факторов по светодиодному модулю / по корпусу IP54/23 23 в соответствии с ГОСТ 14254-2015;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Относительная влажно</w:t>
      </w:r>
      <w:r>
        <w:t>сть при температуре 25ºС 100%;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220В/12В/24В;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Частота питающего напряжения 50Гц ± 1%;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Потребляемая мощность одной секции не более: 9 Вт;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не ограничено;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Гарантийный срок службы не менее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 xml:space="preserve">Средний срок службы </w:t>
      </w:r>
      <w:r>
        <w:t>источника света не менее 10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Диаметр апертуры, мм 300.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5.2. Пешеходное вызывное устройство (ПВУ) механическое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220B;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– неограниченно;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Гарантийный срок службы не мене</w:t>
      </w:r>
      <w:r>
        <w:t>е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 срок службы источника света 10 лет.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5.3. Пешеходное вызывное устройство (ПВУ) сенсорное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lastRenderedPageBreak/>
        <w:t>Диапазон рабочих температур –60°С - +45ºС;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Напряжение питания 12/24B;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Время непрерывной работы – неограниченно;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Гарантийный срок службы 5 лет;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</w:t>
      </w:r>
      <w:r>
        <w:t xml:space="preserve"> срок службы источника света 10 лет.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5.4. Устройство звукового сопровождения зеленого сигнала пешеходного светофора (УЗСП)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 xml:space="preserve">Устройство звукового сопровождения зеленого сигнала пешеходного светофора, с </w:t>
      </w:r>
      <w:proofErr w:type="spellStart"/>
      <w:r>
        <w:t>радиоинтерфейсом</w:t>
      </w:r>
      <w:proofErr w:type="spellEnd"/>
      <w:r>
        <w:t xml:space="preserve"> программируемое обеспечивает слабовидя</w:t>
      </w:r>
      <w:r>
        <w:t>щих граждан при пересечении проезжей части в зоне регулируемого пешеходного перехода, информацией о наличии зеленого сигнала светофора с помощью звукового сигнала.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Питание 220В от зеленого сигнала пешеходного светофора. 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напряжения питания перемен</w:t>
      </w:r>
      <w:r>
        <w:t>ного тока частотой 50 Гц от 180 до 240 В.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Потребляемая мощность, не более 2 Вт.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Уровень звука сигнала перехода при максимальном уровне громкости, 89</w:t>
      </w:r>
      <w:r>
        <w:br/>
        <w:t xml:space="preserve">          </w:t>
      </w:r>
      <w:proofErr w:type="spellStart"/>
      <w:r>
        <w:t>дБА</w:t>
      </w:r>
      <w:proofErr w:type="spellEnd"/>
      <w:r>
        <w:t>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 xml:space="preserve">Частота звукового сигнала перехода: 1...3 кГц 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Частота повторения звукового сигнала перехода</w:t>
      </w:r>
      <w:r>
        <w:t xml:space="preserve"> не менее 4 Гц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Климатическое исполнение по ГОСТ 15150-69 УХЛ1.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Диапазон рабочих температур от -60 до +45 °С.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Допустимая относительная влажность при температуре +25°С до 98%.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Средний срок службы до заводского ремонта, не менее 10 лет.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Полный срок службы, не</w:t>
      </w:r>
      <w:r>
        <w:t xml:space="preserve"> менее 25 лет.</w:t>
      </w:r>
    </w:p>
    <w:p w:rsidR="00DD79D4" w:rsidRDefault="00DD79D4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  <w:rPr>
          <w:b/>
        </w:rPr>
      </w:pPr>
      <w:r>
        <w:rPr>
          <w:b/>
        </w:rPr>
        <w:t>5.5. Технические требования к информационным световым секциям.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Информационная световая секция (ИС) в виде силуэта пешехода и стрелки с мигающим сигналом бело-лунного цвета, расположенная под транспортным светофором, информирует водителя о т</w:t>
      </w:r>
      <w:r>
        <w:t>ом, что на пешеходном переходе, в направлении которого он поворачивает, включен сигнал светофора, разрешающий движение пешеходам. Направление стрелки указывает на пешеходный переход, на котором включен сигнал светофора, разрешающий движение пешеходам.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ИС д</w:t>
      </w:r>
      <w:r>
        <w:t>олжны быть устойчивы к повышенной влажности, солнечному излучению, ветровой нагрузке. Конструкция корпуса ИС должна быть ударопрочной, химически стойкой и должна обеспечивать стабильность параметров, предусмотренных ГОСТ Р 52282-2004.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Информационные светов</w:t>
      </w:r>
      <w:r>
        <w:t xml:space="preserve">ые секции включаются одновременно с разрешающим сигналом светофора, при котором возможно пересечение поворачивающих транспортных средств с пешеходами, рассчитано на работу в сети переменного тока с номинальным напряжением 220В±20% и частотой </w:t>
      </w:r>
      <w:r>
        <w:br/>
        <w:t>50±1 Гц. Режи</w:t>
      </w:r>
      <w:r>
        <w:t>м работы непрерывный, круглогодичный.</w:t>
      </w:r>
    </w:p>
    <w:p w:rsidR="00DD79D4" w:rsidRDefault="008A2851">
      <w:pPr>
        <w:spacing w:line="276" w:lineRule="auto"/>
        <w:ind w:firstLine="851"/>
        <w:jc w:val="both"/>
      </w:pPr>
      <w:r>
        <w:lastRenderedPageBreak/>
        <w:t xml:space="preserve">Координаты цветности ИС по ГОСТ Р 52282 осевая сила света не менее - </w:t>
      </w:r>
      <w:r>
        <w:br/>
        <w:t>50 кд. Размер рабочей поверхности выходной апертуры ИС должен соответствовать размеру рабочей поверхности выходной апертуры сигнала светофора, под к</w:t>
      </w:r>
      <w:r>
        <w:t>оторым она установлена.</w:t>
      </w:r>
    </w:p>
    <w:p w:rsidR="00DD79D4" w:rsidRDefault="008A2851">
      <w:pPr>
        <w:tabs>
          <w:tab w:val="left" w:pos="0"/>
          <w:tab w:val="left" w:pos="284"/>
          <w:tab w:val="left" w:pos="3030"/>
        </w:tabs>
        <w:spacing w:line="360" w:lineRule="exact"/>
        <w:ind w:firstLine="709"/>
        <w:contextualSpacing/>
        <w:jc w:val="both"/>
      </w:pPr>
      <w:r>
        <w:t>Информационные световые секции должны быть совместимы с транспортными и пешеходными светофорами, а также любым дорожным контроллером, соответствующим требованиям ГОСТ 34.401-90.</w:t>
      </w:r>
    </w:p>
    <w:p w:rsidR="00DD79D4" w:rsidRDefault="00DD79D4">
      <w:pPr>
        <w:spacing w:after="60" w:line="276" w:lineRule="auto"/>
        <w:ind w:firstLine="851"/>
        <w:jc w:val="both"/>
      </w:pPr>
    </w:p>
    <w:p w:rsidR="00DD79D4" w:rsidRDefault="008A2851">
      <w:pPr>
        <w:spacing w:after="60" w:line="276" w:lineRule="auto"/>
        <w:ind w:firstLine="851"/>
        <w:jc w:val="both"/>
        <w:rPr>
          <w:b/>
        </w:rPr>
      </w:pPr>
      <w:r>
        <w:rPr>
          <w:b/>
        </w:rPr>
        <w:t xml:space="preserve">5.6 Технические требования к светодиодным </w:t>
      </w:r>
      <w:r>
        <w:rPr>
          <w:b/>
        </w:rPr>
        <w:t>дорожным зн</w:t>
      </w:r>
      <w:r>
        <w:rPr>
          <w:b/>
        </w:rPr>
        <w:t>акам 5.19.1 и 5.19.2 «Пешеходный переход».</w:t>
      </w:r>
    </w:p>
    <w:p w:rsidR="00DD79D4" w:rsidRDefault="008A2851">
      <w:pPr>
        <w:spacing w:after="60" w:line="276" w:lineRule="auto"/>
        <w:ind w:firstLine="851"/>
        <w:jc w:val="both"/>
      </w:pPr>
      <w:r>
        <w:t>Знаки должны соответствовать требованиям ГОСТ 32945-2014 или ГОСТ Р 52290-2004, размещаться на опорах по ГОСТ 32948-2014 и в процессе эксплуатации отвечать требованиям ГОСТ 33220-2015 и ГОСТ Р 50597-2017. Расстоян</w:t>
      </w:r>
      <w:r>
        <w:t>ие видимости знака должно быть не менее 100 м. Фон знака - белого и синего цвета, контур - белого цвета, символ - черного цвета. Все детали и сборочные единицы знаков должны быть изготовлены из антикоррозионных материалов. Лицевые поверхности дорожных знак</w:t>
      </w:r>
      <w:r>
        <w:t xml:space="preserve">ов II типоразмера должны быть изготовлены из </w:t>
      </w:r>
      <w:proofErr w:type="spellStart"/>
      <w:r>
        <w:t>световозвращающих</w:t>
      </w:r>
      <w:proofErr w:type="spellEnd"/>
      <w:r>
        <w:t xml:space="preserve"> материалов класса В c свойствами флуоресценции и с высокой цветоустойчивостью (Ц2). </w:t>
      </w:r>
      <w:proofErr w:type="spellStart"/>
      <w:r>
        <w:t>Световозвращающая</w:t>
      </w:r>
      <w:proofErr w:type="spellEnd"/>
      <w:r>
        <w:t xml:space="preserve"> пленка, применяемая для изготовления знаков сертифицирована на территории РФ на соответстви</w:t>
      </w:r>
      <w:r>
        <w:t>е требованиям ГОСТ 32945-2014.</w:t>
      </w:r>
    </w:p>
    <w:p w:rsidR="00DD79D4" w:rsidRDefault="008A2851">
      <w:pPr>
        <w:spacing w:after="60" w:line="276" w:lineRule="auto"/>
        <w:ind w:firstLine="851"/>
        <w:jc w:val="both"/>
      </w:pPr>
      <w:r>
        <w:t xml:space="preserve">Маска дорожного знака (Тип В) изготавливается методом </w:t>
      </w:r>
      <w:proofErr w:type="spellStart"/>
      <w:r>
        <w:t>шелкографии</w:t>
      </w:r>
      <w:proofErr w:type="spellEnd"/>
      <w:r>
        <w:t xml:space="preserve"> с последующим нанесением прозрачной ламинирующей пленки, наклеенной горячим способом, без изменения </w:t>
      </w:r>
      <w:proofErr w:type="spellStart"/>
      <w:r>
        <w:t>световозвращающих</w:t>
      </w:r>
      <w:proofErr w:type="spellEnd"/>
      <w:r>
        <w:t xml:space="preserve"> свойств лицевой поверхности знака.</w:t>
      </w:r>
    </w:p>
    <w:p w:rsidR="00DD79D4" w:rsidRDefault="008A2851">
      <w:pPr>
        <w:spacing w:after="60" w:line="276" w:lineRule="auto"/>
        <w:ind w:firstLine="851"/>
        <w:jc w:val="both"/>
      </w:pPr>
      <w:r>
        <w:t>Флуоре</w:t>
      </w:r>
      <w:r>
        <w:t xml:space="preserve">сцентный коэффициент яркости </w:t>
      </w:r>
      <w:proofErr w:type="spellStart"/>
      <w:r>
        <w:t>световозвращающего</w:t>
      </w:r>
      <w:proofErr w:type="spellEnd"/>
      <w:r>
        <w:t xml:space="preserve"> материала III класса со свойствами флуоресценции соответствует требованиям, указанным в таблице 1.</w:t>
      </w:r>
    </w:p>
    <w:p w:rsidR="00DD79D4" w:rsidRDefault="008A2851">
      <w:r>
        <w:t>Таблица 1</w:t>
      </w:r>
    </w:p>
    <w:tbl>
      <w:tblPr>
        <w:tblW w:w="0" w:type="auto"/>
        <w:tblInd w:w="278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442"/>
        <w:gridCol w:w="1611"/>
        <w:gridCol w:w="3709"/>
      </w:tblGrid>
      <w:tr w:rsidR="00DD79D4">
        <w:trPr>
          <w:trHeight w:val="84"/>
        </w:trPr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DD79D4" w:rsidRDefault="008A2851">
            <w:pPr>
              <w:spacing w:beforeAutospacing="1"/>
              <w:jc w:val="center"/>
            </w:pPr>
            <w:r>
              <w:t>Цвет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>
            <w:pPr>
              <w:spacing w:beforeAutospacing="1"/>
              <w:jc w:val="center"/>
            </w:pP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DD79D4" w:rsidRDefault="008A2851">
            <w:pPr>
              <w:spacing w:beforeAutospacing="1"/>
              <w:jc w:val="center"/>
            </w:pPr>
            <w:r>
              <w:t>Флуоресцентный коэффициент яркости, не менее</w:t>
            </w:r>
          </w:p>
        </w:tc>
      </w:tr>
      <w:tr w:rsidR="00DD79D4">
        <w:trPr>
          <w:trHeight w:val="367"/>
        </w:trPr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</w:pPr>
            <w:r>
              <w:t>Желтый флуоресцентный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>
            <w:pPr>
              <w:spacing w:beforeAutospacing="1"/>
              <w:jc w:val="center"/>
            </w:pP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0,25</w:t>
            </w:r>
          </w:p>
        </w:tc>
      </w:tr>
      <w:tr w:rsidR="00DD79D4">
        <w:trPr>
          <w:trHeight w:val="388"/>
        </w:trPr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</w:pPr>
            <w:r>
              <w:t xml:space="preserve">Оранжевый </w:t>
            </w:r>
            <w:r>
              <w:t>флуоресцентный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>
            <w:pPr>
              <w:spacing w:beforeAutospacing="1"/>
              <w:jc w:val="center"/>
            </w:pP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0,18</w:t>
            </w:r>
          </w:p>
        </w:tc>
      </w:tr>
      <w:tr w:rsidR="00DD79D4">
        <w:trPr>
          <w:trHeight w:val="367"/>
        </w:trPr>
        <w:tc>
          <w:tcPr>
            <w:tcW w:w="4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</w:pPr>
            <w:r>
              <w:t>Желто-зеленый флуоресцентный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>
            <w:pPr>
              <w:spacing w:beforeAutospacing="1"/>
              <w:jc w:val="center"/>
            </w:pPr>
          </w:p>
        </w:tc>
        <w:tc>
          <w:tcPr>
            <w:tcW w:w="3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0,35</w:t>
            </w:r>
          </w:p>
        </w:tc>
      </w:tr>
    </w:tbl>
    <w:p w:rsidR="00DD79D4" w:rsidRDefault="00DD79D4">
      <w:pPr>
        <w:spacing w:beforeAutospacing="1" w:afterAutospacing="1" w:line="276" w:lineRule="auto"/>
        <w:ind w:firstLine="709"/>
        <w:contextualSpacing/>
      </w:pPr>
    </w:p>
    <w:p w:rsidR="00DD79D4" w:rsidRDefault="008A2851">
      <w:pPr>
        <w:spacing w:after="60" w:line="276" w:lineRule="auto"/>
        <w:ind w:firstLine="851"/>
        <w:jc w:val="both"/>
      </w:pPr>
      <w:r>
        <w:t xml:space="preserve">Удельный коэффициент </w:t>
      </w:r>
      <w:proofErr w:type="spellStart"/>
      <w:r>
        <w:t>световозвращения</w:t>
      </w:r>
      <w:proofErr w:type="spellEnd"/>
      <w:r>
        <w:t xml:space="preserve"> </w:t>
      </w:r>
      <w:proofErr w:type="spellStart"/>
      <w:r>
        <w:t>световозвращающего</w:t>
      </w:r>
      <w:proofErr w:type="spellEnd"/>
      <w:r>
        <w:t xml:space="preserve"> материала III класса соответствует требованиям, указанным в таблице 2. </w:t>
      </w:r>
    </w:p>
    <w:p w:rsidR="00DD79D4" w:rsidRDefault="008A2851">
      <w:pPr>
        <w:spacing w:after="160" w:line="259" w:lineRule="auto"/>
      </w:pPr>
      <w:r>
        <w:t>Таблица 2.</w:t>
      </w:r>
    </w:p>
    <w:tbl>
      <w:tblPr>
        <w:tblW w:w="0" w:type="auto"/>
        <w:tblInd w:w="-624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51"/>
        <w:gridCol w:w="1418"/>
        <w:gridCol w:w="851"/>
        <w:gridCol w:w="1133"/>
        <w:gridCol w:w="1134"/>
        <w:gridCol w:w="1135"/>
        <w:gridCol w:w="857"/>
        <w:gridCol w:w="978"/>
        <w:gridCol w:w="1284"/>
        <w:gridCol w:w="1275"/>
      </w:tblGrid>
      <w:tr w:rsidR="00DD79D4">
        <w:trPr>
          <w:trHeight w:val="519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 xml:space="preserve">Угол </w:t>
            </w:r>
            <w:proofErr w:type="spellStart"/>
            <w:r>
              <w:t>наблю</w:t>
            </w:r>
            <w:proofErr w:type="spellEnd"/>
            <w:r>
              <w:br/>
            </w:r>
            <w:proofErr w:type="spellStart"/>
            <w:r>
              <w:t>дения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Угол освещения °</w:t>
            </w:r>
          </w:p>
        </w:tc>
        <w:tc>
          <w:tcPr>
            <w:tcW w:w="864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 xml:space="preserve">Удельный коэффициент </w:t>
            </w:r>
            <w:proofErr w:type="spellStart"/>
            <w:r>
              <w:t>световозвращения</w:t>
            </w:r>
            <w:proofErr w:type="spellEnd"/>
            <w:r>
              <w:t xml:space="preserve"> (удельный коэффициента силы света), кд. лк-1. м-2, для </w:t>
            </w:r>
            <w:proofErr w:type="spellStart"/>
            <w:r>
              <w:t>световозвращающего</w:t>
            </w:r>
            <w:proofErr w:type="spellEnd"/>
            <w:r>
              <w:t xml:space="preserve"> материала цвета, не менее</w:t>
            </w:r>
          </w:p>
        </w:tc>
      </w:tr>
      <w:tr w:rsidR="00DD79D4">
        <w:trPr>
          <w:trHeight w:val="130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Белый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Желтый*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Красный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Зеленый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Синий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jc w:val="center"/>
            </w:pPr>
            <w:proofErr w:type="spellStart"/>
            <w:r>
              <w:t>Корич</w:t>
            </w:r>
            <w:proofErr w:type="spellEnd"/>
          </w:p>
          <w:p w:rsidR="00DD79D4" w:rsidRDefault="008A2851">
            <w:pPr>
              <w:jc w:val="center"/>
            </w:pPr>
            <w:proofErr w:type="spellStart"/>
            <w:r>
              <w:t>невый</w:t>
            </w:r>
            <w:proofErr w:type="spellEnd"/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Оран-</w:t>
            </w:r>
            <w:r>
              <w:br/>
            </w:r>
            <w:proofErr w:type="spellStart"/>
            <w:r>
              <w:t>жевый</w:t>
            </w:r>
            <w:proofErr w:type="spellEnd"/>
            <w:r>
              <w:t>*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proofErr w:type="spellStart"/>
            <w:r>
              <w:t>Желтозеленый</w:t>
            </w:r>
            <w:proofErr w:type="spellEnd"/>
            <w:r>
              <w:t>**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12</w:t>
            </w:r>
            <w:r>
              <w:rPr>
                <w:i/>
              </w:rPr>
              <w:t>'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625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125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60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40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375</w:t>
            </w:r>
          </w:p>
        </w:tc>
      </w:tr>
      <w:tr w:rsidR="00DD79D4">
        <w:trPr>
          <w:trHeight w:val="269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325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65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20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200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40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13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36</w:t>
            </w:r>
          </w:p>
        </w:tc>
      </w:tr>
      <w:tr w:rsidR="00DD79D4">
        <w:trPr>
          <w:trHeight w:val="269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lastRenderedPageBreak/>
              <w:t>20</w:t>
            </w:r>
            <w:r>
              <w:rPr>
                <w:i/>
              </w:rPr>
              <w:t>'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60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19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35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270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165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17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11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15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83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140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8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24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1,5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0,5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4,5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35</w:t>
            </w:r>
          </w:p>
        </w:tc>
      </w:tr>
      <w:tr w:rsidR="00DD79D4">
        <w:trPr>
          <w:trHeight w:val="254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3,5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22</w:t>
            </w:r>
          </w:p>
        </w:tc>
      </w:tr>
      <w:tr w:rsidR="00DD79D4">
        <w:trPr>
          <w:trHeight w:val="269"/>
        </w:trPr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bottom w:w="15" w:type="dxa"/>
            </w:tcMar>
          </w:tcPr>
          <w:p w:rsidR="00DD79D4" w:rsidRDefault="00DD79D4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+40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-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bottom w:w="15" w:type="dxa"/>
            </w:tcMar>
          </w:tcPr>
          <w:p w:rsidR="00DD79D4" w:rsidRDefault="008A2851">
            <w:pPr>
              <w:spacing w:beforeAutospacing="1"/>
              <w:jc w:val="center"/>
            </w:pPr>
            <w:r>
              <w:t>0,5</w:t>
            </w:r>
          </w:p>
        </w:tc>
      </w:tr>
    </w:tbl>
    <w:p w:rsidR="00DD79D4" w:rsidRDefault="008A2851">
      <w:pPr>
        <w:spacing w:after="60" w:line="360" w:lineRule="auto"/>
        <w:ind w:firstLine="567"/>
        <w:jc w:val="both"/>
      </w:pPr>
      <w:r>
        <w:t xml:space="preserve">* Без </w:t>
      </w:r>
      <w:r>
        <w:t>свойств флуоресценции и со свойствами с флуоресценции.</w:t>
      </w:r>
    </w:p>
    <w:p w:rsidR="00DD79D4" w:rsidRDefault="008A2851">
      <w:pPr>
        <w:spacing w:after="60" w:line="276" w:lineRule="auto"/>
        <w:ind w:firstLine="567"/>
        <w:jc w:val="both"/>
      </w:pPr>
      <w:r>
        <w:t xml:space="preserve">Конструкция знаков с внутренним освещением должна обеспечивать плотность соединений панели, на которой нанесено изображение знака, с корпусом для предотвращения попадания влаги вовнутрь знака при </w:t>
      </w:r>
      <w:r>
        <w:t>воздействии дождя интенсивностью 5 мм/мин. Все детали и сборочные единицы знаков должны быть изготовлены из антикоррозионных материалов или иметь защитное покрытие. Покрытия должны соответствовать требованиям ГОСТ 9.401-2018.</w:t>
      </w:r>
    </w:p>
    <w:p w:rsidR="00DD79D4" w:rsidRDefault="008A2851">
      <w:pPr>
        <w:spacing w:after="60" w:line="276" w:lineRule="auto"/>
        <w:ind w:firstLine="567"/>
        <w:jc w:val="both"/>
      </w:pPr>
      <w:r>
        <w:t xml:space="preserve">Знаки с внутренним освещением </w:t>
      </w:r>
      <w:r>
        <w:t>должны иметь равномерное распределение яркости по всему полю изображения одного цвета. Отношение максимальной яркости к минимальной должно быть не более 5:1.</w:t>
      </w:r>
    </w:p>
    <w:p w:rsidR="00DD79D4" w:rsidRDefault="008A2851">
      <w:pPr>
        <w:spacing w:after="60" w:line="276" w:lineRule="auto"/>
        <w:ind w:firstLine="567"/>
        <w:jc w:val="both"/>
      </w:pPr>
      <w:r>
        <w:t>Входное напряжение питания знаков должно быть 220В с частотой 50Гц. Максимальная потребляемая мощн</w:t>
      </w:r>
      <w:r>
        <w:t>ость не более 50Вт.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Маркировка знака: наносится на обратную сторону знака. Табличка с маркировкой: изготовляется из </w:t>
      </w:r>
      <w:proofErr w:type="spellStart"/>
      <w:r>
        <w:rPr>
          <w:rFonts w:ascii="Times New Roman" w:hAnsi="Times New Roman"/>
          <w:b w:val="0"/>
          <w:sz w:val="24"/>
        </w:rPr>
        <w:t>световозвращающей</w:t>
      </w:r>
      <w:proofErr w:type="spellEnd"/>
      <w:r>
        <w:rPr>
          <w:rFonts w:ascii="Times New Roman" w:hAnsi="Times New Roman"/>
          <w:b w:val="0"/>
          <w:sz w:val="24"/>
        </w:rPr>
        <w:t xml:space="preserve"> пленки типа А белого цвета, на которую наносят маркирующие надписи черного цвета. Маркировка дорожного знака содержит след</w:t>
      </w:r>
      <w:r>
        <w:rPr>
          <w:rFonts w:ascii="Times New Roman" w:hAnsi="Times New Roman"/>
          <w:b w:val="0"/>
          <w:sz w:val="24"/>
        </w:rPr>
        <w:t>ующие данные: товарный знак предприятия-изготовителя (при наличии); дату изготовления; обозначение стандарта; обозначение технических условий; надпись «дата установки…» со свободным полем, на которое во время установки знака несмываемым маркером черного цв</w:t>
      </w:r>
      <w:r>
        <w:rPr>
          <w:rFonts w:ascii="Times New Roman" w:hAnsi="Times New Roman"/>
          <w:b w:val="0"/>
          <w:sz w:val="24"/>
        </w:rPr>
        <w:t xml:space="preserve">ета наносят дату установки знака; тип, наименование и номер </w:t>
      </w:r>
      <w:proofErr w:type="gramStart"/>
      <w:r>
        <w:rPr>
          <w:rFonts w:ascii="Times New Roman" w:hAnsi="Times New Roman"/>
          <w:b w:val="0"/>
          <w:sz w:val="24"/>
        </w:rPr>
        <w:t>серии</w:t>
      </w:r>
      <w:proofErr w:type="gramEnd"/>
      <w:r>
        <w:rPr>
          <w:rFonts w:ascii="Times New Roman" w:hAnsi="Times New Roman"/>
          <w:b w:val="0"/>
          <w:sz w:val="24"/>
        </w:rPr>
        <w:t xml:space="preserve"> используемой </w:t>
      </w:r>
      <w:proofErr w:type="spellStart"/>
      <w:r>
        <w:rPr>
          <w:rFonts w:ascii="Times New Roman" w:hAnsi="Times New Roman"/>
          <w:b w:val="0"/>
          <w:sz w:val="24"/>
        </w:rPr>
        <w:t>световозвращающей</w:t>
      </w:r>
      <w:proofErr w:type="spellEnd"/>
      <w:r>
        <w:rPr>
          <w:rFonts w:ascii="Times New Roman" w:hAnsi="Times New Roman"/>
          <w:b w:val="0"/>
          <w:sz w:val="24"/>
        </w:rPr>
        <w:t xml:space="preserve"> пленки. </w:t>
      </w:r>
    </w:p>
    <w:p w:rsidR="00DD79D4" w:rsidRDefault="00DD79D4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</w:p>
    <w:p w:rsidR="00DD79D4" w:rsidRDefault="008A2851">
      <w:pPr>
        <w:spacing w:line="259" w:lineRule="auto"/>
        <w:rPr>
          <w:b/>
        </w:rPr>
      </w:pPr>
      <w:r>
        <w:rPr>
          <w:b/>
        </w:rPr>
        <w:t>5.7. Повторитель сигнала светофора светодиодный.</w:t>
      </w:r>
    </w:p>
    <w:tbl>
      <w:tblPr>
        <w:tblStyle w:val="aff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095"/>
        <w:gridCol w:w="4502"/>
      </w:tblGrid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  <w:rPr>
                <w:b/>
              </w:rPr>
            </w:pPr>
            <w:r>
              <w:rPr>
                <w:b/>
              </w:rPr>
              <w:t>Значение показателей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Напряжение сети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tabs>
                <w:tab w:val="left" w:pos="1200"/>
              </w:tabs>
              <w:spacing w:line="360" w:lineRule="auto"/>
            </w:pPr>
            <w:r>
              <w:t>переменный ток (АС) 220В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Цвет свечен</w:t>
            </w:r>
            <w:r>
              <w:t>ия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RGB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Тип светоизлучающего диода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3-х кристальный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Количество светодиодов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Не менее 90 диодов одного цвета на 1 м.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Степень защиты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международный стандарт IEC IP64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Класс защиты поражения электрическим током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II</w:t>
            </w:r>
          </w:p>
        </w:tc>
      </w:tr>
      <w:tr w:rsidR="00DD79D4">
        <w:tc>
          <w:tcPr>
            <w:tcW w:w="6095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Срок службы светодиодов</w:t>
            </w:r>
          </w:p>
        </w:tc>
        <w:tc>
          <w:tcPr>
            <w:tcW w:w="4502" w:type="dxa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spacing w:line="360" w:lineRule="auto"/>
            </w:pPr>
            <w:r>
              <w:t>не менее 50 000 часов</w:t>
            </w:r>
          </w:p>
        </w:tc>
      </w:tr>
    </w:tbl>
    <w:p w:rsidR="00DD79D4" w:rsidRDefault="00DD79D4">
      <w:pPr>
        <w:spacing w:after="160" w:line="259" w:lineRule="auto"/>
        <w:rPr>
          <w:b/>
        </w:rPr>
      </w:pPr>
    </w:p>
    <w:p w:rsidR="00DD79D4" w:rsidRDefault="008A2851">
      <w:pPr>
        <w:spacing w:after="160" w:line="259" w:lineRule="auto"/>
        <w:rPr>
          <w:b/>
        </w:rPr>
      </w:pPr>
      <w:r>
        <w:rPr>
          <w:b/>
        </w:rPr>
        <w:t>5.8. Комплекс «Проекционный пешеходный переход».</w:t>
      </w:r>
    </w:p>
    <w:p w:rsidR="00DD79D4" w:rsidRDefault="008A2851">
      <w:pPr>
        <w:spacing w:line="360" w:lineRule="auto"/>
        <w:ind w:firstLine="851"/>
      </w:pPr>
      <w:r>
        <w:t>- Входное напряжение: 100-240 Вольт;</w:t>
      </w:r>
    </w:p>
    <w:p w:rsidR="00DD79D4" w:rsidRDefault="008A2851">
      <w:pPr>
        <w:spacing w:line="360" w:lineRule="auto"/>
        <w:ind w:firstLine="851"/>
      </w:pPr>
      <w:r>
        <w:t>- Мощность светодиода: 235 Вт;</w:t>
      </w:r>
    </w:p>
    <w:p w:rsidR="00DD79D4" w:rsidRDefault="008A2851">
      <w:pPr>
        <w:spacing w:line="360" w:lineRule="auto"/>
        <w:ind w:firstLine="851"/>
      </w:pPr>
      <w:r>
        <w:t>- Оптическая схема из 10 оптических линз;</w:t>
      </w:r>
    </w:p>
    <w:p w:rsidR="00DD79D4" w:rsidRDefault="008A2851">
      <w:pPr>
        <w:spacing w:line="360" w:lineRule="auto"/>
        <w:ind w:firstLine="851"/>
      </w:pPr>
      <w:r>
        <w:t>- Охлаждение принудительное - 2 кулера;</w:t>
      </w:r>
    </w:p>
    <w:p w:rsidR="00DD79D4" w:rsidRDefault="008A2851">
      <w:pPr>
        <w:spacing w:line="360" w:lineRule="auto"/>
        <w:ind w:firstLine="851"/>
      </w:pPr>
      <w:r>
        <w:lastRenderedPageBreak/>
        <w:t>- Защита от перегрева;</w:t>
      </w:r>
    </w:p>
    <w:p w:rsidR="00DD79D4" w:rsidRDefault="008A2851">
      <w:pPr>
        <w:spacing w:line="360" w:lineRule="auto"/>
        <w:ind w:firstLine="851"/>
      </w:pPr>
      <w:r>
        <w:t xml:space="preserve">- Клапаны выравнивания </w:t>
      </w:r>
      <w:r>
        <w:t>избыточного давления;</w:t>
      </w:r>
    </w:p>
    <w:p w:rsidR="00DD79D4" w:rsidRDefault="008A2851">
      <w:pPr>
        <w:spacing w:line="360" w:lineRule="auto"/>
        <w:ind w:firstLine="851"/>
      </w:pPr>
      <w:r>
        <w:t>- Температура света: Белая (8000К);</w:t>
      </w:r>
    </w:p>
    <w:p w:rsidR="00DD79D4" w:rsidRDefault="008A2851">
      <w:pPr>
        <w:spacing w:line="360" w:lineRule="auto"/>
        <w:ind w:firstLine="851"/>
      </w:pPr>
      <w:r>
        <w:t xml:space="preserve">- Уровень </w:t>
      </w:r>
      <w:proofErr w:type="spellStart"/>
      <w:r>
        <w:t>пылевлагозащиты</w:t>
      </w:r>
      <w:proofErr w:type="spellEnd"/>
      <w:r>
        <w:t>: IP65;</w:t>
      </w:r>
    </w:p>
    <w:p w:rsidR="00DD79D4" w:rsidRDefault="008A2851">
      <w:pPr>
        <w:spacing w:line="360" w:lineRule="auto"/>
        <w:ind w:firstLine="851"/>
      </w:pPr>
      <w:r>
        <w:t>- ширина проекции - до 7 м.</w:t>
      </w:r>
    </w:p>
    <w:p w:rsidR="00DD79D4" w:rsidRDefault="008A2851">
      <w:pPr>
        <w:spacing w:after="160" w:line="259" w:lineRule="auto"/>
        <w:rPr>
          <w:b/>
        </w:rPr>
      </w:pPr>
      <w:r>
        <w:rPr>
          <w:b/>
        </w:rPr>
        <w:t>5.9. Система световой индикации красно-синего цвета (шериф-балка).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6238"/>
        <w:gridCol w:w="2835"/>
      </w:tblGrid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№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Наименование показателей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Значение показателей</w:t>
            </w:r>
          </w:p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не более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Потребляемая мощность, Вт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36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2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Входной ток, 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1,1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3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Выходной ток, 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8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4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Частота, Гц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50/60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5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Класс защиты от поражения электрическим током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II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6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ind w:firstLine="709"/>
              <w:contextualSpacing w:val="0"/>
              <w:jc w:val="both"/>
            </w:pPr>
            <w:r>
              <w:t>Угол рассеивания светового потока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ind w:firstLine="709"/>
              <w:contextualSpacing w:val="0"/>
              <w:jc w:val="both"/>
            </w:pPr>
            <w:r>
              <w:t>30 градусов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7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Степень защита, IP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65</w:t>
            </w:r>
          </w:p>
        </w:tc>
      </w:tr>
      <w:tr w:rsidR="00DD79D4">
        <w:trPr>
          <w:trHeight w:val="25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8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Длина, мм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 xml:space="preserve"> не более 1000</w:t>
            </w:r>
          </w:p>
        </w:tc>
      </w:tr>
      <w:tr w:rsidR="00DD79D4">
        <w:trPr>
          <w:trHeight w:val="11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9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Ширина, мм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не более 60</w:t>
            </w:r>
          </w:p>
        </w:tc>
      </w:tr>
      <w:tr w:rsidR="00DD79D4">
        <w:trPr>
          <w:trHeight w:val="17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10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Высота, мм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 xml:space="preserve"> не более 60</w:t>
            </w:r>
          </w:p>
        </w:tc>
      </w:tr>
      <w:tr w:rsidR="00DD79D4">
        <w:trPr>
          <w:trHeight w:val="172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11</w:t>
            </w:r>
          </w:p>
        </w:tc>
        <w:tc>
          <w:tcPr>
            <w:tcW w:w="6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Масса, кг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7"/>
              <w:spacing w:line="360" w:lineRule="exact"/>
              <w:contextualSpacing w:val="0"/>
              <w:jc w:val="center"/>
            </w:pPr>
            <w:r>
              <w:t>не более 4,5</w:t>
            </w:r>
          </w:p>
        </w:tc>
      </w:tr>
    </w:tbl>
    <w:p w:rsidR="00DD79D4" w:rsidRDefault="00DD79D4">
      <w:pPr>
        <w:spacing w:line="360" w:lineRule="auto"/>
        <w:ind w:firstLine="851"/>
      </w:pPr>
    </w:p>
    <w:p w:rsidR="00DD79D4" w:rsidRDefault="008A2851">
      <w:pPr>
        <w:spacing w:after="160" w:line="259" w:lineRule="auto"/>
        <w:jc w:val="both"/>
        <w:rPr>
          <w:b/>
        </w:rPr>
      </w:pPr>
      <w:r>
        <w:rPr>
          <w:b/>
        </w:rPr>
        <w:t xml:space="preserve">5.10. </w:t>
      </w:r>
      <w:r>
        <w:rPr>
          <w:b/>
        </w:rPr>
        <w:t xml:space="preserve">Технические требования к размещению </w:t>
      </w:r>
      <w:r>
        <w:rPr>
          <w:b/>
        </w:rPr>
        <w:t>PTZ-камер с комплектом креплений и вспомогательным оборудованием.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Функционирование PTZ-камеры должно обеспечиваться круглогодично и </w:t>
      </w:r>
      <w:r>
        <w:rPr>
          <w:rFonts w:ascii="Times New Roman" w:hAnsi="Times New Roman"/>
          <w:b w:val="0"/>
          <w:sz w:val="24"/>
        </w:rPr>
        <w:t>круглосуточно в температурном диапазоне от - 30</w:t>
      </w:r>
      <w:r>
        <w:rPr>
          <w:rFonts w:ascii="Times New Roman" w:hAnsi="Times New Roman"/>
          <w:b w:val="0"/>
          <w:sz w:val="24"/>
          <w:vertAlign w:val="superscript"/>
        </w:rPr>
        <w:t>о</w:t>
      </w:r>
      <w:r>
        <w:rPr>
          <w:rFonts w:ascii="Times New Roman" w:hAnsi="Times New Roman"/>
          <w:b w:val="0"/>
          <w:sz w:val="24"/>
        </w:rPr>
        <w:t>С до + 65</w:t>
      </w:r>
      <w:r>
        <w:rPr>
          <w:rFonts w:ascii="Times New Roman" w:hAnsi="Times New Roman"/>
          <w:b w:val="0"/>
          <w:sz w:val="24"/>
          <w:vertAlign w:val="superscript"/>
        </w:rPr>
        <w:t>о</w:t>
      </w:r>
      <w:r>
        <w:rPr>
          <w:rFonts w:ascii="Times New Roman" w:hAnsi="Times New Roman"/>
          <w:b w:val="0"/>
          <w:sz w:val="24"/>
        </w:rPr>
        <w:t>С и относительной влажности воздуха не более 90%.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В состав оборудования должно входить: камера видеонаблюдения с обзором 360° и ИК-подсветкой, крепление к опоре с монтажным коробом, блок питания, кабель связи, кабель питания (при необходимости). 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Оборудование должно соответствовать техническим характерист</w:t>
      </w:r>
      <w:r>
        <w:rPr>
          <w:rFonts w:ascii="Times New Roman" w:hAnsi="Times New Roman"/>
          <w:b w:val="0"/>
          <w:sz w:val="24"/>
        </w:rPr>
        <w:t>икам, указанным в таблице 3.</w:t>
      </w:r>
    </w:p>
    <w:p w:rsidR="00DD79D4" w:rsidRDefault="008A2851">
      <w:pPr>
        <w:pStyle w:val="ConsPlusTitle"/>
        <w:widowControl/>
        <w:spacing w:line="276" w:lineRule="auto"/>
        <w:ind w:firstLine="709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ab/>
        <w:t>Таблица 3.</w:t>
      </w:r>
    </w:p>
    <w:p w:rsidR="00DD79D4" w:rsidRDefault="00DD79D4">
      <w:pPr>
        <w:pStyle w:val="ConsPlusTitle"/>
        <w:widowControl/>
        <w:spacing w:line="276" w:lineRule="auto"/>
        <w:ind w:firstLine="709"/>
        <w:rPr>
          <w:rFonts w:ascii="Times New Roman" w:hAnsi="Times New Roman"/>
          <w:b w:val="0"/>
          <w:sz w:val="24"/>
        </w:rPr>
      </w:pPr>
    </w:p>
    <w:tbl>
      <w:tblPr>
        <w:tblW w:w="0" w:type="auto"/>
        <w:tblInd w:w="-120" w:type="dxa"/>
        <w:tblLayout w:type="fixed"/>
        <w:tblLook w:val="04A0" w:firstRow="1" w:lastRow="0" w:firstColumn="1" w:lastColumn="0" w:noHBand="0" w:noVBand="1"/>
      </w:tblPr>
      <w:tblGrid>
        <w:gridCol w:w="566"/>
        <w:gridCol w:w="4907"/>
        <w:gridCol w:w="4827"/>
      </w:tblGrid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  <w:jc w:val="center"/>
              <w:rPr>
                <w:b/>
              </w:rPr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  <w:jc w:val="center"/>
              <w:rPr>
                <w:b/>
              </w:rPr>
            </w:pPr>
            <w:r>
              <w:rPr>
                <w:b/>
              </w:rPr>
              <w:t>Значение показателей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Потребляемая мощность, Вт, не более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24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Максимальное разрешение, не менее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2560 × 1440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Оптический зум, не менее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25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Частота питающей сети, Гц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50/60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Дальность ИК-</w:t>
            </w:r>
            <w:proofErr w:type="spellStart"/>
            <w:r>
              <w:t>подсветки,м</w:t>
            </w:r>
            <w:proofErr w:type="spellEnd"/>
            <w:r>
              <w:t>,  не менее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150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Рабочая апертура, макс.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F1.6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Диапазон поворота, °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360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Светочувствительность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 xml:space="preserve">Цвет: 0.005 </w:t>
            </w:r>
            <w:proofErr w:type="spellStart"/>
            <w:r>
              <w:t>лк</w:t>
            </w:r>
            <w:proofErr w:type="spellEnd"/>
            <w:r>
              <w:t xml:space="preserve"> (F1.6, AGC </w:t>
            </w:r>
            <w:proofErr w:type="spellStart"/>
            <w:r>
              <w:t>вкл</w:t>
            </w:r>
            <w:proofErr w:type="spellEnd"/>
            <w:r>
              <w:t xml:space="preserve">), ч/б: 0.001 </w:t>
            </w:r>
            <w:proofErr w:type="spellStart"/>
            <w:r>
              <w:t>лк</w:t>
            </w:r>
            <w:proofErr w:type="spellEnd"/>
            <w:r>
              <w:t xml:space="preserve"> (F1.6, AGC </w:t>
            </w:r>
            <w:proofErr w:type="spellStart"/>
            <w:r>
              <w:t>вкл</w:t>
            </w:r>
            <w:proofErr w:type="spellEnd"/>
            <w:r>
              <w:t xml:space="preserve">), 0 </w:t>
            </w:r>
            <w:proofErr w:type="spellStart"/>
            <w:r>
              <w:t>лк</w:t>
            </w:r>
            <w:proofErr w:type="spellEnd"/>
            <w:r>
              <w:t xml:space="preserve"> с ИК-подсветкой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lastRenderedPageBreak/>
              <w:t>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3D позиционирование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Есть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 xml:space="preserve">Отображение </w:t>
            </w:r>
            <w:r>
              <w:t>PTZ-позиции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Есть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Стоп-кадр при переходе на предустановку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DD79D4" w:rsidRDefault="008A2851">
            <w:pPr>
              <w:pStyle w:val="af8"/>
            </w:pPr>
            <w:r>
              <w:t>Есть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Степень защита, IP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66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proofErr w:type="spellStart"/>
            <w:r>
              <w:t>Битрейт</w:t>
            </w:r>
            <w:proofErr w:type="spellEnd"/>
            <w:r>
              <w:t xml:space="preserve"> видеопотока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От 32 Кбит/с до 16 Мбит/с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 xml:space="preserve">Возможность питания по </w:t>
            </w:r>
            <w:proofErr w:type="spellStart"/>
            <w:r>
              <w:t>РоЕ</w:t>
            </w:r>
            <w:proofErr w:type="spellEnd"/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есть</w:t>
            </w:r>
          </w:p>
        </w:tc>
      </w:tr>
      <w:tr w:rsidR="00DD79D4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Протоколы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 xml:space="preserve">Pv4 / IPv6, HTTP, HTTPS, 802.1x, </w:t>
            </w:r>
            <w:proofErr w:type="spellStart"/>
            <w:r>
              <w:t>QoS</w:t>
            </w:r>
            <w:proofErr w:type="spellEnd"/>
            <w:r>
              <w:t xml:space="preserve">, FTP, SMTP, </w:t>
            </w:r>
            <w:proofErr w:type="spellStart"/>
            <w:r>
              <w:t>UPnP</w:t>
            </w:r>
            <w:proofErr w:type="spellEnd"/>
            <w:r>
              <w:t xml:space="preserve">, SNMP, </w:t>
            </w:r>
            <w:r>
              <w:t xml:space="preserve">DNS, DDNS, NTP, RTSP, RTCP, RTP, TCP / IP, UDP, IGMP, ICMP, DHCP, </w:t>
            </w:r>
            <w:proofErr w:type="spellStart"/>
            <w:r>
              <w:t>PPPoE</w:t>
            </w:r>
            <w:proofErr w:type="spellEnd"/>
            <w:r>
              <w:t xml:space="preserve">, </w:t>
            </w:r>
            <w:proofErr w:type="spellStart"/>
            <w:r>
              <w:t>Bonjour</w:t>
            </w:r>
            <w:proofErr w:type="spellEnd"/>
            <w:r>
              <w:t xml:space="preserve">, </w:t>
            </w:r>
            <w:proofErr w:type="spellStart"/>
            <w:r>
              <w:t>WebSocket</w:t>
            </w:r>
            <w:proofErr w:type="spellEnd"/>
            <w:r>
              <w:t xml:space="preserve">, </w:t>
            </w:r>
            <w:proofErr w:type="spellStart"/>
            <w:r>
              <w:t>WebSockets</w:t>
            </w:r>
            <w:proofErr w:type="spellEnd"/>
          </w:p>
        </w:tc>
      </w:tr>
      <w:tr w:rsidR="00DD79D4">
        <w:trPr>
          <w:trHeight w:val="17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Защита от запотевания объектива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 xml:space="preserve"> есть</w:t>
            </w:r>
          </w:p>
        </w:tc>
      </w:tr>
      <w:tr w:rsidR="00DD79D4" w:rsidRPr="008A2851">
        <w:trPr>
          <w:trHeight w:val="175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Соответствие стандартам безопасности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Pr="008A2851" w:rsidRDefault="008A2851">
            <w:pPr>
              <w:pStyle w:val="af8"/>
              <w:rPr>
                <w:lang w:val="en-US"/>
              </w:rPr>
            </w:pPr>
            <w:r w:rsidRPr="008A2851">
              <w:rPr>
                <w:lang w:val="en-US"/>
              </w:rPr>
              <w:t>UL (UL 62368-1); CB (IEC 62368-1:2014 + A11); CE-LVD (EN 62368-1:2014</w:t>
            </w:r>
            <w:r w:rsidRPr="008A2851">
              <w:rPr>
                <w:lang w:val="en-US"/>
              </w:rPr>
              <w:t xml:space="preserve"> / A11:2017)</w:t>
            </w:r>
          </w:p>
        </w:tc>
      </w:tr>
      <w:tr w:rsidR="00DD79D4">
        <w:trPr>
          <w:trHeight w:val="41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Масса видеокамеры, кг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не более 3</w:t>
            </w:r>
          </w:p>
        </w:tc>
      </w:tr>
      <w:tr w:rsidR="00DD79D4">
        <w:trPr>
          <w:trHeight w:val="41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19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Материал кронштейна</w:t>
            </w:r>
          </w:p>
        </w:tc>
        <w:tc>
          <w:tcPr>
            <w:tcW w:w="4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pStyle w:val="af8"/>
            </w:pPr>
            <w:r>
              <w:t>металл</w:t>
            </w:r>
          </w:p>
        </w:tc>
      </w:tr>
    </w:tbl>
    <w:p w:rsidR="00DD79D4" w:rsidRDefault="00DD79D4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</w:p>
    <w:p w:rsidR="00DD79D4" w:rsidRDefault="008A2851">
      <w:pPr>
        <w:spacing w:after="60" w:line="276" w:lineRule="auto"/>
        <w:ind w:firstLine="851"/>
        <w:jc w:val="both"/>
        <w:rPr>
          <w:b/>
        </w:rPr>
      </w:pPr>
      <w:r>
        <w:rPr>
          <w:b/>
        </w:rPr>
        <w:t>5.11 Технические требования к установке программно-аппаратного комплекса автоматического сбора статистических данных и ситуационной аналитики.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Требования к техническим </w:t>
      </w:r>
      <w:r>
        <w:rPr>
          <w:rFonts w:ascii="Times New Roman" w:hAnsi="Times New Roman"/>
          <w:b w:val="0"/>
          <w:sz w:val="24"/>
        </w:rPr>
        <w:t>характеристикам программно-аппаратного комплекса автоматического сбора статистических данных и ситуационной аналитики представлены в таблице 4.</w:t>
      </w:r>
    </w:p>
    <w:p w:rsidR="00DD79D4" w:rsidRDefault="008A2851">
      <w:pPr>
        <w:pStyle w:val="ConsPlusTitle"/>
        <w:widowControl/>
        <w:spacing w:line="276" w:lineRule="auto"/>
        <w:ind w:firstLine="709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ab/>
        <w:t>Таблица 4.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03"/>
        <w:gridCol w:w="3160"/>
      </w:tblGrid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характеристики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rPr>
                <w:b/>
              </w:rPr>
            </w:pPr>
            <w:r>
              <w:t xml:space="preserve">Рабочий диапазон температур, </w:t>
            </w:r>
            <w:r>
              <w:t>°С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-40 до +60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Относительная </w:t>
            </w:r>
            <w:r>
              <w:t>влажность при температуре окружающего воздуха +25 ºС, не более, %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95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Атмосферное давление, кПа.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84-106,7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Степень защиты изделия,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IP66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Потребляемая мощность изделия, Вт, не более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Габаритные размеры, не более, мм:</w:t>
            </w:r>
          </w:p>
          <w:p w:rsidR="00DD79D4" w:rsidRDefault="008A2851">
            <w:pPr>
              <w:tabs>
                <w:tab w:val="left" w:pos="742"/>
              </w:tabs>
            </w:pPr>
            <w:r>
              <w:t xml:space="preserve">- видеокамера в </w:t>
            </w:r>
            <w:proofErr w:type="spellStart"/>
            <w:r>
              <w:t>термокожухе</w:t>
            </w:r>
            <w:proofErr w:type="spellEnd"/>
            <w:r>
              <w:t>;</w:t>
            </w:r>
          </w:p>
          <w:p w:rsidR="00DD79D4" w:rsidRDefault="008A2851">
            <w:pPr>
              <w:tabs>
                <w:tab w:val="left" w:pos="742"/>
              </w:tabs>
            </w:pPr>
            <w:r>
              <w:t>- шкаф управления;</w:t>
            </w:r>
          </w:p>
          <w:p w:rsidR="00DD79D4" w:rsidRDefault="008A2851">
            <w:r>
              <w:t>- инфракрасный прожектор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DD79D4">
            <w:pPr>
              <w:jc w:val="center"/>
              <w:rPr>
                <w:highlight w:val="yellow"/>
              </w:rPr>
            </w:pPr>
          </w:p>
          <w:p w:rsidR="00DD79D4" w:rsidRDefault="008A2851">
            <w:pPr>
              <w:jc w:val="center"/>
            </w:pPr>
            <w:r>
              <w:t>530х200х200</w:t>
            </w:r>
          </w:p>
          <w:p w:rsidR="00DD79D4" w:rsidRDefault="008A2851">
            <w:pPr>
              <w:jc w:val="center"/>
            </w:pPr>
            <w:r>
              <w:t>215х365х600</w:t>
            </w:r>
          </w:p>
          <w:p w:rsidR="00DD79D4" w:rsidRDefault="008A2851">
            <w:pPr>
              <w:jc w:val="center"/>
            </w:pPr>
            <w:r>
              <w:t>275х190х100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rPr>
                <w:b/>
              </w:rPr>
            </w:pPr>
            <w:r>
              <w:t>Масса изделия, не более, кг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Архитектура чипсета платы обработки видеоизображения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ARM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Количество ядер,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Частота, ГГц,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2,1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 xml:space="preserve">Мощность нейронного </w:t>
            </w:r>
            <w:r>
              <w:rPr>
                <w:highlight w:val="white"/>
              </w:rPr>
              <w:t>процессора,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 xml:space="preserve">6 </w:t>
            </w:r>
            <w:proofErr w:type="spellStart"/>
            <w:r>
              <w:t>TOPs</w:t>
            </w:r>
            <w:proofErr w:type="spellEnd"/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Графический ускоритель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Видеосенсор</w:t>
            </w:r>
            <w:proofErr w:type="spellEnd"/>
            <w:r>
              <w:t xml:space="preserve">, </w:t>
            </w:r>
            <w:proofErr w:type="spellStart"/>
            <w:r>
              <w:t>Мп</w:t>
            </w:r>
            <w:proofErr w:type="spellEnd"/>
            <w:r>
              <w:t>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Разрешение видеопотока, (пиксели),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4K (3840x2160)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Оперативная память RAM, GB,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16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Форматы сжатия видео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MJPEG, h.264, h.265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Частота кадров, к/с, н</w:t>
            </w:r>
            <w:r>
              <w:t>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Объектив</w:t>
            </w:r>
            <w:r>
              <w:t>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 xml:space="preserve">Съёмный, </w:t>
            </w:r>
            <w:proofErr w:type="spellStart"/>
            <w:r>
              <w:t>вариофокальный</w:t>
            </w:r>
            <w:proofErr w:type="spellEnd"/>
            <w:r>
              <w:t>, моторизированный</w:t>
            </w:r>
          </w:p>
          <w:p w:rsidR="00DD79D4" w:rsidRDefault="008A2851">
            <w:pPr>
              <w:jc w:val="center"/>
            </w:pPr>
            <w:r>
              <w:t>11-50 мм, F1,4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rPr>
                <w:b/>
              </w:rPr>
            </w:pPr>
            <w:r>
              <w:lastRenderedPageBreak/>
              <w:t>Возможно использование моторизированных объективов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highlight w:val="white"/>
              </w:rPr>
              <w:t>Возможность смены объектива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rPr>
                <w:b/>
              </w:rPr>
            </w:pPr>
            <w:r>
              <w:t>Материал корпуса видеокамеры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Комбинированный (алюминий/ABS)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Интерфейсы связи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proofErr w:type="spellStart"/>
            <w:r>
              <w:t>Ethernet</w:t>
            </w:r>
            <w:proofErr w:type="spellEnd"/>
            <w:r>
              <w:t xml:space="preserve"> 10/100/1000, GPS/ГЛОНАСС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Средняя наработка на отказ, не менее, ч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13140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Средний срок службы изделия, лет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Время непрерывной работы в сутки, ч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24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Количество определяемых пар марка/модель ТС, не менее, шт.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2000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Кол-во </w:t>
            </w:r>
            <w:r>
              <w:t>контролируемых полос движения, шт., не менее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Определение координат места расположения комплекса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Интеллектуальная обработка видеопотока с помощью подключения аналитических алгоритмов распознавания государственных регистрационных знаков (ГРЗ) и </w:t>
            </w:r>
            <w:r>
              <w:t>транспортных средств на основе нейронных сетей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Сохранение метаданных результатов распознавания в базе данных для дальнейших запросов по REST API и для просмотра результатов работы аналитик в режиме просмотра архива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Распознавание всех </w:t>
            </w:r>
            <w:r>
              <w:t>типов однострочных государственных регистрационных знаков (ГРЗ) транспортных средств, соответствующих ГОСТ Р 50577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Распознавание транспортного средства по марке, модели и типу при отсутствии ГРЗ на транспортном средстве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Распознавание типа</w:t>
            </w:r>
            <w:r>
              <w:t xml:space="preserve"> транспортного средства (грузовой; легкий коммерческий; пассажирский; легковой; мотоциклы) с помощью аналитических алгоритмов в режиме офлайн без запроса к базам данных ГРЗ и транспортных средств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Одновременное распознавание всех транспортных средс</w:t>
            </w:r>
            <w:r>
              <w:t>тв в одном видеокадре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Фиксация полосы движения ТС и направления движения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Распознавание цвета ТС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ind w:firstLine="426"/>
            </w:pPr>
            <w:r>
              <w:t>Определение следующих параметров транспортного потока:</w:t>
            </w:r>
          </w:p>
          <w:p w:rsidR="00DD79D4" w:rsidRDefault="008A2851">
            <w:pPr>
              <w:widowControl w:val="0"/>
              <w:numPr>
                <w:ilvl w:val="0"/>
                <w:numId w:val="1"/>
              </w:numPr>
              <w:ind w:firstLine="0"/>
            </w:pPr>
            <w:r>
              <w:t>средней интенсивности транспортного потока (общая, по полосам);</w:t>
            </w:r>
          </w:p>
          <w:p w:rsidR="00DD79D4" w:rsidRDefault="008A2851">
            <w:pPr>
              <w:widowControl w:val="0"/>
              <w:numPr>
                <w:ilvl w:val="0"/>
                <w:numId w:val="1"/>
              </w:numPr>
              <w:ind w:firstLine="0"/>
            </w:pPr>
            <w:r>
              <w:t xml:space="preserve">средней </w:t>
            </w:r>
            <w:r>
              <w:t>плотности транспортного потока (общая, по полосам);</w:t>
            </w:r>
          </w:p>
          <w:p w:rsidR="00DD79D4" w:rsidRDefault="008A2851">
            <w:pPr>
              <w:widowControl w:val="0"/>
              <w:numPr>
                <w:ilvl w:val="0"/>
                <w:numId w:val="1"/>
              </w:numPr>
              <w:ind w:firstLine="0"/>
            </w:pPr>
            <w:r>
              <w:t>средней скорости ТС (по полосам);</w:t>
            </w:r>
          </w:p>
          <w:p w:rsidR="00DD79D4" w:rsidRDefault="008A2851">
            <w:pPr>
              <w:widowControl w:val="0"/>
              <w:numPr>
                <w:ilvl w:val="0"/>
                <w:numId w:val="1"/>
              </w:numPr>
              <w:ind w:firstLine="0"/>
            </w:pPr>
            <w:r>
              <w:t>среднего времени между прохождением ТС друг за другом;</w:t>
            </w:r>
          </w:p>
          <w:p w:rsidR="00DD79D4" w:rsidRDefault="008A2851">
            <w:pPr>
              <w:widowControl w:val="0"/>
              <w:numPr>
                <w:ilvl w:val="0"/>
                <w:numId w:val="1"/>
              </w:numPr>
              <w:ind w:firstLine="0"/>
            </w:pPr>
            <w:r>
              <w:t>среднего расстояния между автомобилями.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Наличие</w:t>
            </w:r>
          </w:p>
        </w:tc>
      </w:tr>
      <w:tr w:rsidR="00DD79D4">
        <w:trPr>
          <w:trHeight w:val="70"/>
        </w:trPr>
        <w:tc>
          <w:tcPr>
            <w:tcW w:w="6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Комплект поставки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 xml:space="preserve">Видеокамера в </w:t>
            </w:r>
            <w:proofErr w:type="spellStart"/>
            <w:r>
              <w:t>термокожухе</w:t>
            </w:r>
            <w:proofErr w:type="spellEnd"/>
            <w:r>
              <w:t>, шкаф управления, инфр</w:t>
            </w:r>
            <w:r>
              <w:t>акрасный прожектор</w:t>
            </w:r>
          </w:p>
        </w:tc>
      </w:tr>
    </w:tbl>
    <w:p w:rsidR="00DD79D4" w:rsidRDefault="00DD79D4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Виды работы, выполняемые при монтаже оборудования: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Прокладка кабелей от точки подключения к сетям связи и электроснабжения до места размещения программно-аппаратного комплекса автоматического сбора статистических данных и ситуационной </w:t>
      </w:r>
      <w:r>
        <w:rPr>
          <w:rFonts w:ascii="Times New Roman" w:hAnsi="Times New Roman"/>
          <w:b w:val="0"/>
          <w:sz w:val="24"/>
        </w:rPr>
        <w:t>аналитики;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lastRenderedPageBreak/>
        <w:t>Монтаж программно-аппаратного комплекса автоматического сбора статистических данных и ситуационной аналитики на опоре;</w:t>
      </w:r>
    </w:p>
    <w:p w:rsidR="00DD79D4" w:rsidRDefault="008A2851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Пуско-наладка программно-аппаратного комплекса автоматического сбора статистических данных и ситуационной аналитики, в том </w:t>
      </w:r>
      <w:r>
        <w:rPr>
          <w:rFonts w:ascii="Times New Roman" w:hAnsi="Times New Roman"/>
          <w:b w:val="0"/>
          <w:sz w:val="24"/>
        </w:rPr>
        <w:t>числе интеграция в существующее программное обеспечение NETVISION FINDER Заказчика с приобретением лицензии на обработку данных с источника (камеры/направления).</w:t>
      </w:r>
    </w:p>
    <w:p w:rsidR="00DD79D4" w:rsidRDefault="00DD79D4">
      <w:pPr>
        <w:pStyle w:val="ConsPlusTitle"/>
        <w:widowControl/>
        <w:spacing w:line="276" w:lineRule="auto"/>
        <w:jc w:val="both"/>
        <w:rPr>
          <w:rFonts w:ascii="Times New Roman" w:hAnsi="Times New Roman"/>
          <w:b w:val="0"/>
          <w:sz w:val="24"/>
        </w:rPr>
      </w:pPr>
    </w:p>
    <w:p w:rsidR="00DD79D4" w:rsidRDefault="008A2851">
      <w:pPr>
        <w:spacing w:after="160" w:line="259" w:lineRule="auto"/>
        <w:ind w:firstLine="709"/>
        <w:rPr>
          <w:b/>
        </w:rPr>
      </w:pPr>
      <w:r>
        <w:rPr>
          <w:b/>
        </w:rPr>
        <w:t>6.  Требования к безопасности выполнения работ: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6.1. Выполняемые работы, а также их результат</w:t>
      </w:r>
      <w:r>
        <w:t xml:space="preserve"> должны соответствовать нормативным требованиям по технике безопасности и охране труда.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 xml:space="preserve">6.2. Мероприятия по технике безопасности с учетом выполнения работ на проезжей части осуществляются Подрядчиком в соответствии с нормативными требованиями, в том числе </w:t>
      </w:r>
      <w:r>
        <w:t>требованиями ГОСТ 32757-2014 «Дороги автомобильные общего пользования. Временные технические средства организации дорожного движения. Классификация», ГОСТ 32758-2014 «Дороги автомобильные общего пользования. Временные технические средства организации дорож</w:t>
      </w:r>
      <w:r>
        <w:t>ного движения. Технические требования и правила применения», ГОСТ 12.1.004-91 «Система стандартов безопасности труда. Пожарная безопасность. Общие требования» и т.п. действующими на момент заключения Договора нормативно-техническими документами с соблюдени</w:t>
      </w:r>
      <w:r>
        <w:t>ем технологических процессов проведения работ.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6.3. К работе допускаются лица, прошедшие обучение и специальный инструктаж с регистрацией в журнале по технике безопасности.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6.4. Приближение к проводам, находящимся под рабочим напряжением на расстояние мене</w:t>
      </w:r>
      <w:r>
        <w:t>е 1 м, запрещено. Запрещается проводить работы вблизи с контактной сетью под напряжением в следующих случаях: во время грозы, дождя, тумана и мокрого снегопада.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6.5. При производстве работ необходимо использовать защитные средства, обеспечивающие безопасно</w:t>
      </w:r>
      <w:r>
        <w:t xml:space="preserve">сть проведения работ. Лица, находящиеся на проезжей части, обязаны пользоваться сигнальными жилетами со </w:t>
      </w:r>
      <w:proofErr w:type="spellStart"/>
      <w:r>
        <w:t>световозвращающими</w:t>
      </w:r>
      <w:proofErr w:type="spellEnd"/>
      <w:r>
        <w:t xml:space="preserve"> элементами.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6.6. При выполнении работ по установке технических средств организации дорожного движения следует руководствоваться схема</w:t>
      </w:r>
      <w:r>
        <w:t>ми организации движения и ограждения мест производства работ. Временные схемы организации дорожного движения при производстве работ Подрядчиком разрабатываются и согласовываются с заинтересованными организациями самостоятельно. Перед началом работ обеспечи</w:t>
      </w:r>
      <w:r>
        <w:t xml:space="preserve">ть установку временных знаков, ограждений и направляющих устройств в соответствии с утвержденной схемой. Всякое отклонение от утвержденных схем, ухудшающее организацию движения, а также применение неисправных технических средств, недопустимо. К выполнению </w:t>
      </w:r>
      <w:r>
        <w:t>работ разрешается приступать только после полного обустройства места работ.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6.7. Дорожные машины, участвующие в проведении работ, должны быть оборудованы проблесковыми маячками желтого или оранжевого цвета (п.3.4 Правил дорожного движения Российской Федера</w:t>
      </w:r>
      <w:r>
        <w:t>ции) и иметь соответствующую раскраску.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 xml:space="preserve">6.8. При необходимости запрета движения автомобильного транспорта на улицах с интенсивным движением работы проводить, с участием сотрудников ГИБДД, которые, при необходимости, оказывают помощь в организации движения </w:t>
      </w:r>
      <w:r>
        <w:t>в зоне проведения работ. Организация взаимодействия с ГИБДД осуществляется подрядной организацией до начала работ. Выполняемые работы, а также их результат, должны соответствовать нормативным требованиям по технике безопасности и охране труда.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lastRenderedPageBreak/>
        <w:t>6.9. К работ</w:t>
      </w:r>
      <w:r>
        <w:t>е допускаются лица, прошедшие обучение и специальный инструктаж с регистрацией в журнале по технике безопасности.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 xml:space="preserve">6.10. К работе по подключению светофоров, другого оборудования допускаются лица с соответствующей группой допуска по электробезопасности, </w:t>
      </w:r>
      <w:r>
        <w:t>прошедшие специальный инструктаж с регистрацией в журнале по технике безопасности.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6.11. Не допускается движение техники во встречном направлении движения транспортному потоку.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6.12. Ответственность за соблюдение техники безопасности при выполнении работ н</w:t>
      </w:r>
      <w:r>
        <w:t>есет Подрядчик.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6.13. Все дополнительные согласования и разрешения, необходимые для производства работ по Договору Подрядчик получает самостоятельно.</w:t>
      </w:r>
    </w:p>
    <w:p w:rsidR="00DD79D4" w:rsidRDefault="008A2851">
      <w:pPr>
        <w:spacing w:line="276" w:lineRule="auto"/>
        <w:ind w:firstLine="709"/>
        <w:contextualSpacing/>
        <w:jc w:val="both"/>
      </w:pPr>
      <w:r>
        <w:t>6.14. Выполняемые работы, а также их результат должны соответствовать нормативным требованиям по технике б</w:t>
      </w:r>
      <w:r>
        <w:t>езопасности и охране труда.</w:t>
      </w:r>
    </w:p>
    <w:p w:rsidR="00DD79D4" w:rsidRDefault="00DD79D4">
      <w:pPr>
        <w:spacing w:line="276" w:lineRule="auto"/>
        <w:ind w:firstLine="851"/>
        <w:contextualSpacing/>
        <w:jc w:val="both"/>
      </w:pPr>
    </w:p>
    <w:p w:rsidR="00DD79D4" w:rsidRDefault="008A2851">
      <w:pPr>
        <w:spacing w:after="160" w:line="259" w:lineRule="auto"/>
      </w:pPr>
      <w:r>
        <w:rPr>
          <w:b/>
        </w:rPr>
        <w:t>7.</w:t>
      </w:r>
      <w:r>
        <w:t xml:space="preserve"> </w:t>
      </w:r>
      <w:r>
        <w:rPr>
          <w:b/>
        </w:rPr>
        <w:t>Нормативные документы:</w:t>
      </w:r>
    </w:p>
    <w:p w:rsidR="00DD79D4" w:rsidRDefault="008A2851">
      <w:pPr>
        <w:widowControl w:val="0"/>
        <w:tabs>
          <w:tab w:val="left" w:pos="284"/>
          <w:tab w:val="left" w:pos="567"/>
        </w:tabs>
        <w:spacing w:line="360" w:lineRule="exact"/>
        <w:ind w:firstLine="709"/>
        <w:jc w:val="both"/>
      </w:pPr>
      <w:r>
        <w:t>7.1. Выполняемые работы должны соответствовать действующим стандартам и ГОСТам: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1647"/>
        <w:gridCol w:w="7971"/>
      </w:tblGrid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Обозначение нормативного документа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нормативного документа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Правила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Правила по охране труда при </w:t>
            </w:r>
            <w:r>
              <w:rPr>
                <w:sz w:val="22"/>
              </w:rPr>
              <w:t>эксплуатации электроустановок (утв. Приказом Минтруда РФ от 15.12.2020 № 903н)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Правила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Правила по охране труда на высоте (утв. Приказом Минтруда и Соцзащиты РФ от 16.11.2020 № 782н)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Правила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Правила технической эксплуатации электроустановок потребител</w:t>
            </w:r>
            <w:r>
              <w:rPr>
                <w:sz w:val="22"/>
              </w:rPr>
              <w:t>ей электрической энергии (утв. приказом Минэнерго России от 12.08.2022 №811)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Правила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Правила устройства электроустановок (ПУЭ)7-ое издание (утв. Минэнерго РФ от 08.07.2002 №204)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52289-2019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Технические средства организации дорожного движения. </w:t>
            </w:r>
            <w:r>
              <w:rPr>
                <w:sz w:val="22"/>
              </w:rPr>
              <w:t>Правила применения дорожных знаков, разметки, светофоров, дорожных ограждений и направляющих устройств (утв. Приказом Федерального агентства по техническому регулированию и метрологии от 20.12.2019 №1125-ст)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50597-2017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Дороги автомобильные и улиц</w:t>
            </w:r>
            <w:r>
              <w:rPr>
                <w:sz w:val="22"/>
              </w:rPr>
              <w:t>ы. Требования к эксплуатационному состоянию, допустимому по условиям обеспечения безопасности дорожного движения. Методы контроля (утв. и введен в действие приказом Федерального агентства по техническому регулированию и метрологии от 26.09.2017 № 1245-ст)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33386-2015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Дороги автомобильные общего пользования. Дорожные светофоры. Методы контроля (утв. и введен в действие </w:t>
            </w:r>
            <w:hyperlink r:id="rId7" w:history="1">
              <w:r>
                <w:rPr>
                  <w:sz w:val="22"/>
                </w:rPr>
                <w:t>приказом</w:t>
              </w:r>
            </w:hyperlink>
            <w:r>
              <w:rPr>
                <w:sz w:val="22"/>
              </w:rPr>
              <w:t> Федерального агентства по техническому регулированию и метрологии от 31.0</w:t>
            </w:r>
            <w:r>
              <w:rPr>
                <w:sz w:val="22"/>
              </w:rPr>
              <w:t>8.2016 N 1002-ст)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МЭК 60173-99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Расцветка жил гибких кабелей и шнуров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52766-2007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Дороги автомобильные общего пользования. Элементы обустройства. Общие требования (утв. Приказом Федерального агентства по техническому регулированию и </w:t>
            </w:r>
            <w:r>
              <w:rPr>
                <w:sz w:val="22"/>
              </w:rPr>
              <w:t>метрологии от 23.10.2007 № 270-ст)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52282-2004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Технические средства организации дорожного движения. Светофоры дорожные. Типы и основные параметры. Общие технические требования. Методы испытаний (утв. Приказом Федерального агентства по </w:t>
            </w:r>
            <w:r>
              <w:rPr>
                <w:sz w:val="22"/>
              </w:rPr>
              <w:t>техническому регулированию и метрологии от 15.12.2004 № 109-ст)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33385-2015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Дороги автомобильные общего пользования. Дорожные светофоры. Технические требования (введен в действие приказом Федерального агентства по техническому регулированию и метро</w:t>
            </w:r>
            <w:r>
              <w:rPr>
                <w:sz w:val="22"/>
              </w:rPr>
              <w:t>логии от 1431.08.2016 №41001-ст)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52290-</w:t>
            </w:r>
            <w:r>
              <w:rPr>
                <w:sz w:val="22"/>
              </w:rPr>
              <w:lastRenderedPageBreak/>
              <w:t>2024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Технические средства организации дорожного движения. Знаки дорожные. Общие </w:t>
            </w:r>
            <w:r>
              <w:rPr>
                <w:sz w:val="22"/>
              </w:rPr>
              <w:lastRenderedPageBreak/>
              <w:t>технические требования (утв. приказом Федерального агентства по техническому регулированию и метрологии от 25.12.2024 №2001-ст</w:t>
            </w:r>
            <w:r>
              <w:rPr>
                <w:sz w:val="22"/>
              </w:rPr>
              <w:t>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ГОСТ 34.401-90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 (утв. постановлением Государственного комитета </w:t>
            </w:r>
            <w:r>
              <w:rPr>
                <w:sz w:val="22"/>
              </w:rPr>
              <w:t>СССР по управлению качеством продукции и стандартам от 27.12.1990 №3382)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ГОСТ 14254-2015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Степени защиты, обеспечиваемые оболочками (Код IP), (введен в действие приказом Федерального агентства по техническому регулированию и метрологии от 10.06.2016 №60</w:t>
            </w:r>
            <w:r>
              <w:rPr>
                <w:sz w:val="22"/>
              </w:rPr>
              <w:t>4-ст)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ГОСТ ISO 6157-1-2015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Изделия крепежные. Дефекты поверхности. Часть 1. Болты, винты и шпильки общего назначения (введен в действие приказом Федерального агентства по техническому регулированию и метрологии от 27.06.2016 №690-ст)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ГОСТ Р 21.101-</w:t>
            </w:r>
            <w:r>
              <w:rPr>
                <w:sz w:val="22"/>
              </w:rPr>
              <w:t>2026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«Система проектной документации для строительства. Основные требования к проектной и рабочей документации»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33151-2014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«Дороги автомобильные общего пользования. Элементы обустройства. Технические требования. Правила применения»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СП </w:t>
            </w:r>
            <w:r>
              <w:rPr>
                <w:sz w:val="22"/>
              </w:rPr>
              <w:t>34.13330.2021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"СНиП 2.05.02-85 Автомобильные дороги" (утв. приказом Министерства строительства и жилищно-коммунального хозяйства РФ от 09.02.2021 №53/пр.)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12.3.048-2002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«ССБТ. Строительство. Производство земляных работ способом гидромеханизации.</w:t>
            </w:r>
            <w:r>
              <w:rPr>
                <w:sz w:val="22"/>
              </w:rPr>
              <w:t xml:space="preserve"> Требования безопасности»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СНиП 12-03-2001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Безопасность труда в строительстве. Часть 1. Общие требования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СНиП 12-04-2002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Безопасность труда в строительстве. Часть 2. Строительное производство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Федеральный закон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Федеральный закон от 08.11.2007г. №</w:t>
            </w:r>
            <w:r>
              <w:rPr>
                <w:sz w:val="22"/>
              </w:rPr>
      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Федеральный закон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Федеральный закон от 10.01.2002г. № 7-ФЗ «Об охране окружающей среды»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Федеральный закон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Федеральный закон от 10.12.1995г. № 196-ФЗ «О безопасности дорожного движения»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Федеральный закон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Федеральный закон от 24.06.1998г. № 89-ФЗ «Об отходах производства и потребления»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Федеральный закон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Федеральный закон от 04.05.1999 </w:t>
            </w:r>
            <w:r>
              <w:rPr>
                <w:sz w:val="22"/>
              </w:rPr>
              <w:t>№ 96-ФЗ «Об охране атмосферного воздуха»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Приказ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tabs>
                <w:tab w:val="left" w:pos="0"/>
                <w:tab w:val="left" w:pos="284"/>
                <w:tab w:val="left" w:pos="1701"/>
              </w:tabs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Приказ Министерства транспорта Российской Федерации от 18 февраля 2025 года №49 «Об установлении требований к составу и содержанию документации по организации дорожного движения»</w:t>
            </w:r>
          </w:p>
        </w:tc>
      </w:tr>
      <w:tr w:rsidR="00DD79D4">
        <w:trPr>
          <w:trHeight w:val="1096"/>
        </w:trPr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ОДМ 218.6.019-2016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tabs>
                <w:tab w:val="left" w:pos="284"/>
                <w:tab w:val="left" w:pos="567"/>
                <w:tab w:val="left" w:pos="1701"/>
              </w:tabs>
              <w:spacing w:line="276" w:lineRule="auto"/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От</w:t>
            </w:r>
            <w:r>
              <w:rPr>
                <w:sz w:val="22"/>
              </w:rPr>
              <w:t>раслевой дорожный методологический документ. Рекомендации по организации движения и ограждению мест производства дорожных работ;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ПУЭ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«Правила устройства электроустановок»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12.2.007.0-75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 Система стандартов безопасности труда. Изделия </w:t>
            </w:r>
            <w:r>
              <w:rPr>
                <w:sz w:val="22"/>
              </w:rPr>
              <w:t>электротехнические. Общие требования безопасности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17516.1-90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58698-2019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Защита от поражения электрическим током. Общие </w:t>
            </w:r>
            <w:r>
              <w:rPr>
                <w:sz w:val="22"/>
              </w:rPr>
              <w:t>положения для электроустановок и электрооборудования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34819-2021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Приборы осветительные. Светотехнические требования и методы испытаний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12.1.019-2017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Система стандартов безопасности труда.  Электробезопасность. Общие требования и номенклату</w:t>
            </w:r>
            <w:r>
              <w:rPr>
                <w:sz w:val="22"/>
              </w:rPr>
              <w:t>ра видов защиты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ОДМ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218.6.019-2016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Рекомендации по организации движения и ограждению мест производства </w:t>
            </w:r>
            <w:r>
              <w:rPr>
                <w:sz w:val="22"/>
              </w:rPr>
              <w:lastRenderedPageBreak/>
              <w:t>дорожных работ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36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32945-2014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Межгосударственный стандарт. Дороги автомобильные общего пользования. Знаки дорожные. Технические требования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</w:t>
            </w:r>
          </w:p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58350-2019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Национальный стандарт Российской Федерации. 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      </w:r>
          </w:p>
        </w:tc>
      </w:tr>
      <w:tr w:rsidR="00DD79D4">
        <w:tc>
          <w:tcPr>
            <w:tcW w:w="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ГОСТ Р ИСО 23600-2013</w:t>
            </w:r>
          </w:p>
        </w:tc>
        <w:tc>
          <w:tcPr>
            <w:tcW w:w="7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«Вс</w:t>
            </w:r>
            <w:r>
              <w:rPr>
                <w:sz w:val="22"/>
              </w:rPr>
              <w:t>помогательные технические средства для лиц с нарушением функций зрения и лиц с нарушением функций зрения и слуха. Звуковые и тактильные сигналы дорожных светофоров»</w:t>
            </w:r>
          </w:p>
        </w:tc>
      </w:tr>
    </w:tbl>
    <w:p w:rsidR="00DD79D4" w:rsidRDefault="00DD79D4">
      <w:pPr>
        <w:pStyle w:val="a4"/>
        <w:rPr>
          <w:b/>
        </w:rPr>
      </w:pPr>
    </w:p>
    <w:p w:rsidR="00DD79D4" w:rsidRDefault="008A2851">
      <w:pPr>
        <w:spacing w:line="360" w:lineRule="auto"/>
        <w:ind w:firstLine="709"/>
        <w:jc w:val="both"/>
        <w:rPr>
          <w:b/>
        </w:rPr>
      </w:pPr>
      <w:bookmarkStart w:id="5" w:name="_Hlk175046874"/>
      <w:r>
        <w:rPr>
          <w:highlight w:val="white"/>
          <w:u w:val="single"/>
        </w:rPr>
        <w:t>Примечание:</w:t>
      </w:r>
      <w:r>
        <w:rPr>
          <w:highlight w:val="white"/>
        </w:rPr>
        <w:t> </w:t>
      </w:r>
      <w:bookmarkStart w:id="6" w:name="_Hlk156390947"/>
      <w:proofErr w:type="gramStart"/>
      <w:r>
        <w:rPr>
          <w:highlight w:val="white"/>
        </w:rPr>
        <w:t>В</w:t>
      </w:r>
      <w:proofErr w:type="gramEnd"/>
      <w:r>
        <w:rPr>
          <w:highlight w:val="white"/>
        </w:rPr>
        <w:t xml:space="preserve"> случае выведения из действия ГОСТ, СНИП и т.п. нормативных документов на </w:t>
      </w:r>
      <w:r>
        <w:rPr>
          <w:highlight w:val="white"/>
        </w:rPr>
        <w:t>основаниях, предусмотренных законодательством Российской Федерации, актуальным документом считается официально его заменяющий.</w:t>
      </w:r>
      <w:bookmarkEnd w:id="5"/>
      <w:bookmarkEnd w:id="6"/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8A2851" w:rsidRDefault="008A2851">
      <w:pPr>
        <w:spacing w:line="360" w:lineRule="auto"/>
        <w:ind w:firstLine="709"/>
        <w:jc w:val="right"/>
        <w:rPr>
          <w:b/>
          <w:highlight w:val="white"/>
        </w:rPr>
      </w:pPr>
    </w:p>
    <w:p w:rsidR="008A2851" w:rsidRDefault="008A2851">
      <w:pPr>
        <w:spacing w:line="360" w:lineRule="auto"/>
        <w:ind w:firstLine="709"/>
        <w:jc w:val="right"/>
        <w:rPr>
          <w:b/>
          <w:highlight w:val="white"/>
        </w:rPr>
      </w:pPr>
    </w:p>
    <w:p w:rsidR="00DD79D4" w:rsidRDefault="008A2851">
      <w:pPr>
        <w:spacing w:line="360" w:lineRule="auto"/>
        <w:ind w:firstLine="709"/>
        <w:jc w:val="right"/>
        <w:rPr>
          <w:b/>
        </w:rPr>
      </w:pPr>
      <w:bookmarkStart w:id="7" w:name="_GoBack"/>
      <w:bookmarkEnd w:id="7"/>
      <w:r>
        <w:rPr>
          <w:b/>
          <w:highlight w:val="white"/>
        </w:rPr>
        <w:lastRenderedPageBreak/>
        <w:t>Приложение №1 к</w:t>
      </w:r>
      <w:r>
        <w:rPr>
          <w:b/>
          <w:highlight w:val="white"/>
        </w:rPr>
        <w:t xml:space="preserve"> Техническому заданию</w:t>
      </w: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8A2851">
      <w:pPr>
        <w:spacing w:line="360" w:lineRule="auto"/>
        <w:ind w:firstLine="709"/>
        <w:jc w:val="center"/>
        <w:rPr>
          <w:b/>
          <w:highlight w:val="white"/>
        </w:rPr>
      </w:pPr>
      <w:r>
        <w:rPr>
          <w:b/>
          <w:highlight w:val="white"/>
        </w:rPr>
        <w:t>Перечень цен материалов и оборудования</w:t>
      </w:r>
    </w:p>
    <w:p w:rsidR="00DD79D4" w:rsidRDefault="008A2851">
      <w:pPr>
        <w:ind w:firstLine="709"/>
        <w:jc w:val="center"/>
        <w:rPr>
          <w:b/>
          <w:highlight w:val="white"/>
        </w:rPr>
      </w:pPr>
      <w:r>
        <w:rPr>
          <w:b/>
          <w:highlight w:val="white"/>
        </w:rPr>
        <w:t xml:space="preserve">Выполнение работ по </w:t>
      </w:r>
      <w:r>
        <w:rPr>
          <w:b/>
          <w:highlight w:val="white"/>
        </w:rPr>
        <w:t>установке технических средств организации дорожного движения и элементов обустройства дорог регионального и межмуниципального значения в Самарской области</w:t>
      </w:r>
    </w:p>
    <w:p w:rsidR="00DD79D4" w:rsidRDefault="00DD79D4">
      <w:pPr>
        <w:ind w:firstLine="709"/>
        <w:jc w:val="center"/>
        <w:rPr>
          <w:b/>
          <w:highlight w:val="whit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"/>
        <w:gridCol w:w="630"/>
        <w:gridCol w:w="53"/>
        <w:gridCol w:w="577"/>
        <w:gridCol w:w="755"/>
        <w:gridCol w:w="8049"/>
      </w:tblGrid>
      <w:tr w:rsidR="00DD79D4">
        <w:trPr>
          <w:trHeight w:val="945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№ п/п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№ п/п по смете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Наименование работ</w:t>
            </w:r>
          </w:p>
        </w:tc>
      </w:tr>
      <w:tr w:rsidR="00DD79D4">
        <w:trPr>
          <w:trHeight w:val="42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79D4" w:rsidRDefault="008A28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79D4">
        <w:trPr>
          <w:trHeight w:val="284"/>
        </w:trPr>
        <w:tc>
          <w:tcPr>
            <w:tcW w:w="10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rPr>
                <w:b/>
                <w:i/>
                <w:u w:val="single"/>
              </w:rPr>
              <w:t xml:space="preserve"> I. Материалы и оборудование </w:t>
            </w:r>
            <w:proofErr w:type="spellStart"/>
            <w:r>
              <w:rPr>
                <w:b/>
                <w:i/>
                <w:u w:val="single"/>
              </w:rPr>
              <w:t>усл.ед</w:t>
            </w:r>
            <w:proofErr w:type="spellEnd"/>
          </w:p>
        </w:tc>
      </w:tr>
      <w:tr w:rsidR="00DD79D4">
        <w:trPr>
          <w:trHeight w:val="266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Кабель </w:t>
            </w:r>
            <w:r>
              <w:t>силовой ВВГнг, с числом жил - 3 и сечением 1,5 мм</w:t>
            </w:r>
          </w:p>
        </w:tc>
      </w:tr>
      <w:tr w:rsidR="00DD79D4">
        <w:trPr>
          <w:trHeight w:val="241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Кабель бронированный </w:t>
            </w:r>
            <w:proofErr w:type="spellStart"/>
            <w:r>
              <w:t>АВБШв</w:t>
            </w:r>
            <w:proofErr w:type="spellEnd"/>
            <w:r>
              <w:t>, с числом жил - 3 и сечением 6 мм</w:t>
            </w:r>
          </w:p>
        </w:tc>
      </w:tr>
      <w:tr w:rsidR="00DD79D4">
        <w:trPr>
          <w:trHeight w:val="392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- 4 и сечением 1,5 мм</w:t>
            </w:r>
          </w:p>
        </w:tc>
      </w:tr>
      <w:tr w:rsidR="00DD79D4">
        <w:trPr>
          <w:trHeight w:val="241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- 5 и сечением 1,5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- 7 и сечением 1,</w:t>
            </w:r>
            <w:r>
              <w:t>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- 10 и сечением 1,5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- 14 и</w:t>
            </w:r>
            <w:r>
              <w:t xml:space="preserve"> сечением 1,5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числом жил - 19 и сечением 1,5 мм</w:t>
            </w:r>
          </w:p>
        </w:tc>
      </w:tr>
      <w:tr w:rsidR="00DD79D4">
        <w:trPr>
          <w:trHeight w:val="365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9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Кабели контрольные с медными жилами с поливинилхлоридной изоляцией и оболочкой марки </w:t>
            </w:r>
            <w:proofErr w:type="spellStart"/>
            <w:r>
              <w:t>КВВГнг</w:t>
            </w:r>
            <w:proofErr w:type="spellEnd"/>
            <w:r>
              <w:t>, с число</w:t>
            </w:r>
            <w:r>
              <w:t>м жил - 27 и сечением 1,5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10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Кабель комбинированный F/UTP 4 Cat5е PVC/</w:t>
            </w:r>
            <w:proofErr w:type="spellStart"/>
            <w:r>
              <w:t>Petr</w:t>
            </w:r>
            <w:proofErr w:type="spellEnd"/>
            <w:r>
              <w:t xml:space="preserve"> 2x0,5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Труба гофрированная ПНД 25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Труба гофрированная ПНД 50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Труба  ПНД 60 мм гладкая </w:t>
            </w:r>
            <w:proofErr w:type="spellStart"/>
            <w:r>
              <w:t>sdr</w:t>
            </w:r>
            <w:proofErr w:type="spellEnd"/>
            <w:r>
              <w:t xml:space="preserve"> 13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Алюминиевый самонесущий изолированный провод, </w:t>
            </w:r>
            <w:r>
              <w:t>состоящий из двух жил сечением 16 мм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Т.1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Т.2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Светофор светодиодный транспортный Т.3 </w:t>
            </w:r>
            <w:r>
              <w:t>(</w:t>
            </w:r>
            <w:proofErr w:type="spellStart"/>
            <w:r>
              <w:t>Dаперт</w:t>
            </w:r>
            <w:proofErr w:type="spellEnd"/>
            <w:r>
              <w:t>.=100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18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Т.1пк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19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Т.1лк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20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Светофор светодиодный </w:t>
            </w:r>
            <w:r>
              <w:t>транспортный Т.1плк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Т.3пк (</w:t>
            </w:r>
            <w:proofErr w:type="spellStart"/>
            <w:r>
              <w:t>Dаперт</w:t>
            </w:r>
            <w:proofErr w:type="spellEnd"/>
            <w:r>
              <w:t>.=100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lastRenderedPageBreak/>
              <w:t>22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транспортный Т.3лк (</w:t>
            </w:r>
            <w:proofErr w:type="spellStart"/>
            <w:r>
              <w:t>Dаперт</w:t>
            </w:r>
            <w:proofErr w:type="spellEnd"/>
            <w:r>
              <w:t>.=100 мм) с комплектом креплений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Светофор </w:t>
            </w:r>
            <w:r>
              <w:t>светодиодный транспортный Т.3плк (</w:t>
            </w:r>
            <w:proofErr w:type="spellStart"/>
            <w:r>
              <w:t>Dаперт</w:t>
            </w:r>
            <w:proofErr w:type="spellEnd"/>
            <w:r>
              <w:t>.=100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пешеходный П.1 (</w:t>
            </w:r>
            <w:proofErr w:type="spellStart"/>
            <w:r>
              <w:t>Dаперт</w:t>
            </w:r>
            <w:proofErr w:type="spellEnd"/>
            <w:r>
              <w:t>.=300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Светофор светодиодный мигающий Т.5 (</w:t>
            </w:r>
            <w:proofErr w:type="spellStart"/>
            <w:r>
              <w:t>Dаперт</w:t>
            </w:r>
            <w:proofErr w:type="spellEnd"/>
            <w:r>
              <w:t>.=100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Дополнительная секция к светофору </w:t>
            </w:r>
            <w:proofErr w:type="spellStart"/>
            <w:r>
              <w:t>п.к</w:t>
            </w:r>
            <w:proofErr w:type="spellEnd"/>
            <w:r>
              <w:t xml:space="preserve"> (</w:t>
            </w:r>
            <w:proofErr w:type="spellStart"/>
            <w:r>
              <w:t>Dаперт</w:t>
            </w:r>
            <w:proofErr w:type="spellEnd"/>
            <w:r>
              <w:t>.= 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Дополнительная секция к светофору </w:t>
            </w:r>
            <w:proofErr w:type="spellStart"/>
            <w:r>
              <w:t>л.к</w:t>
            </w:r>
            <w:proofErr w:type="spellEnd"/>
            <w:r>
              <w:t xml:space="preserve"> (</w:t>
            </w:r>
            <w:proofErr w:type="spellStart"/>
            <w:r>
              <w:t>Dаперт</w:t>
            </w:r>
            <w:proofErr w:type="spellEnd"/>
            <w:r>
              <w:t>.= 300 мм) с комплектом креплений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28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Знак переменной информации 5.15.2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29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Информационная световая секция </w:t>
            </w:r>
            <w:proofErr w:type="spellStart"/>
            <w:r>
              <w:t>ИС.п</w:t>
            </w:r>
            <w:proofErr w:type="spellEnd"/>
            <w:r>
              <w:t xml:space="preserve"> </w:t>
            </w:r>
            <w:r>
              <w:t>(</w:t>
            </w:r>
            <w:proofErr w:type="spellStart"/>
            <w:r>
              <w:t>Dаперт</w:t>
            </w:r>
            <w:proofErr w:type="spellEnd"/>
            <w:r>
              <w:t>.= 300 мм) с комплектом креплений</w:t>
            </w:r>
          </w:p>
        </w:tc>
      </w:tr>
      <w:tr w:rsidR="00DD79D4">
        <w:trPr>
          <w:trHeight w:val="24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30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Информационная световая секция </w:t>
            </w:r>
            <w:proofErr w:type="spellStart"/>
            <w:r>
              <w:t>ИС.л</w:t>
            </w:r>
            <w:proofErr w:type="spellEnd"/>
            <w:r>
              <w:t>. (</w:t>
            </w:r>
            <w:proofErr w:type="spellStart"/>
            <w:r>
              <w:t>Dаперт</w:t>
            </w:r>
            <w:proofErr w:type="spellEnd"/>
            <w:r>
              <w:t>.= 300 мм)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Повторитель сигнала светофора светодиодный 1 м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Комплекс "Проекционный пешеходный переход" </w:t>
            </w:r>
            <w:r>
              <w:t>(ширина перехода до 7м) с комплектом креплений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Механическое пешеходное вызывное устройство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Сенсорное пешеходное вызывное устройство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Стойки металлические оцинкованные (из трубы диаметром 76мм, длиной 3,5 м )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Трос стальной оцинков</w:t>
            </w:r>
            <w:r>
              <w:t>анный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Дорожный знак 5.19.1 "Пешеходный переход" (на </w:t>
            </w:r>
            <w:proofErr w:type="spellStart"/>
            <w:r>
              <w:t>флуоресц</w:t>
            </w:r>
            <w:proofErr w:type="spellEnd"/>
            <w:r>
              <w:t>. основе 900х900 мм) односторонний с внутренней подсветкой, тип пленки В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38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Дорожный знак 5.19.2 "Пешеходный переход" (на </w:t>
            </w:r>
            <w:proofErr w:type="spellStart"/>
            <w:r>
              <w:t>флуоресц</w:t>
            </w:r>
            <w:proofErr w:type="spellEnd"/>
            <w:r>
              <w:t xml:space="preserve">. основе 900х900 мм) односторонний с внутренней </w:t>
            </w:r>
            <w:r>
              <w:t>подсветкой, тип пленки В</w:t>
            </w:r>
          </w:p>
        </w:tc>
      </w:tr>
      <w:tr w:rsidR="00DD79D4">
        <w:trPr>
          <w:trHeight w:val="895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39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Опора оцинкованная диаметром 159 мм, толщина стенки 3,5мм, длиной не менее 6 м с закладной деталью оцинкованной диаметром 159 мм, толщина стенки 3,5мм, длиной не менее 1,5 м</w:t>
            </w:r>
          </w:p>
        </w:tc>
      </w:tr>
      <w:tr w:rsidR="00DD79D4">
        <w:trPr>
          <w:trHeight w:val="895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40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Опора оцинкованная диаметром 133 мм, </w:t>
            </w:r>
            <w:r>
              <w:t>толщина стенки 3,5мм, длиной не менее 6 м с закладной деталью оцинкованной диаметром 133 мм, толщина стенки 3,5мм, длиной не менее 1,5 м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степень защиты не менее IP54, 10 зажимов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степень защиты не менее IP54, </w:t>
            </w:r>
            <w:r>
              <w:t>20 зажимов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степень защиты не менее IP54, 30 зажимов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Коробка </w:t>
            </w:r>
            <w:proofErr w:type="spellStart"/>
            <w:r>
              <w:t>клеммная</w:t>
            </w:r>
            <w:proofErr w:type="spellEnd"/>
            <w:r>
              <w:t xml:space="preserve"> степень защиты не менее IP54, 40 зажимов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Информационная табличка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PTZ-камера с комплектом креплений и вспомогательным оборудованием</w:t>
            </w:r>
          </w:p>
        </w:tc>
      </w:tr>
      <w:tr w:rsidR="00DD79D4">
        <w:trPr>
          <w:trHeight w:val="563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Лицензия для подключения программно-аппаратного комплекса автоматического сбора статистических данных и ситуационной аналитики NETVISION FINDER</w:t>
            </w:r>
          </w:p>
        </w:tc>
      </w:tr>
      <w:tr w:rsidR="00DD79D4">
        <w:trPr>
          <w:trHeight w:val="59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48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Программно-аппаратный комплекс автоматического сбора статистических данных и ситуационной аналитики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50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SFP модуль (диапазон рабочих температур –40°С - +50єС)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51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Консоль стальная оцинкованная толщина стенки не менее 3,5 мм, длина 2 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lastRenderedPageBreak/>
              <w:t>52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Консоль стальная оцинкованная толщина стенки не менее 3,5 мм, длина 3 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53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Лицензия для подключения </w:t>
            </w:r>
            <w:r>
              <w:t>PTZ-камер в ПО "</w:t>
            </w:r>
            <w:proofErr w:type="spellStart"/>
            <w:r>
              <w:t>Macroscop</w:t>
            </w:r>
            <w:proofErr w:type="spellEnd"/>
            <w:r>
              <w:t>"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54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Консоль стальная оцинкованная толщина стенки не менее 3,5 мм, длина 4 м</w:t>
            </w:r>
          </w:p>
        </w:tc>
      </w:tr>
      <w:tr w:rsidR="00DD79D4">
        <w:trPr>
          <w:trHeight w:val="20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55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Консоль стальная оцинкованная толщина стенки не менее 3,5 мм, длина 5 м</w:t>
            </w:r>
          </w:p>
        </w:tc>
      </w:tr>
      <w:tr w:rsidR="00DD79D4">
        <w:trPr>
          <w:trHeight w:val="347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56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Шериф-балка</w:t>
            </w:r>
          </w:p>
        </w:tc>
      </w:tr>
      <w:tr w:rsidR="00DD79D4">
        <w:trPr>
          <w:trHeight w:val="210"/>
        </w:trPr>
        <w:tc>
          <w:tcPr>
            <w:tcW w:w="6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57</w:t>
            </w:r>
          </w:p>
        </w:tc>
        <w:tc>
          <w:tcPr>
            <w:tcW w:w="1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Устройство звукового сопровождения пешеходов</w:t>
            </w:r>
          </w:p>
        </w:tc>
      </w:tr>
      <w:tr w:rsidR="00DD79D4">
        <w:trPr>
          <w:gridBefore w:val="1"/>
          <w:trHeight w:val="367"/>
        </w:trPr>
        <w:tc>
          <w:tcPr>
            <w:tcW w:w="10044" w:type="dxa"/>
            <w:gridSpan w:val="5"/>
            <w:tcMar>
              <w:top w:w="0" w:type="dxa"/>
              <w:bottom w:w="0" w:type="dxa"/>
            </w:tcMar>
          </w:tcPr>
          <w:p w:rsidR="00DD79D4" w:rsidRDefault="008A2851">
            <w:r>
              <w:rPr>
                <w:b/>
                <w:i/>
              </w:rPr>
              <w:t xml:space="preserve">II. Виды ремонтных и иных работ, </w:t>
            </w:r>
            <w:proofErr w:type="spellStart"/>
            <w:r>
              <w:rPr>
                <w:b/>
                <w:i/>
              </w:rPr>
              <w:t>усл.ед</w:t>
            </w:r>
            <w:proofErr w:type="spellEnd"/>
            <w:r>
              <w:rPr>
                <w:b/>
                <w:i/>
              </w:rPr>
              <w:t>.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Демонтаж кабеля 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опоры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выносной консоли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светофора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табло обратного отсчета времени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6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Демонтаж дорожного знака 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7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7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стойки дорожного знака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8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Демонтаж пешеходного вызывного устройства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9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10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Устройство котлована под ГНБ с обратной засыпкой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10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Устройство горизонтально-направленного бурения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11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Прокладка кабеля в траншее с устройством траншеи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12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13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Прокладка кабеля в </w:t>
            </w:r>
            <w:proofErr w:type="spellStart"/>
            <w:r>
              <w:t>гнб</w:t>
            </w:r>
            <w:proofErr w:type="spellEnd"/>
            <w:r>
              <w:t>-переходе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13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14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Прокладка кабеля по телу опоры в ПНД трубе со вспомогательными 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14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15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79D4" w:rsidRDefault="008A2851">
            <w:r>
              <w:t>Прокладка кабеля в теле опоры со вспомогательными 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15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17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DD79D4" w:rsidRDefault="008A2851">
            <w:r>
              <w:t>Монтаж информационной таблички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16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18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Монтаж кабеля методом подвеса на тросу со вспомогательными </w:t>
            </w:r>
            <w:r>
              <w:t>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17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19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Подвеска самонесущего изолированного провода со вспомогательными материалами</w:t>
            </w:r>
          </w:p>
        </w:tc>
      </w:tr>
      <w:tr w:rsidR="00DD79D4">
        <w:trPr>
          <w:gridBefore w:val="1"/>
          <w:trHeight w:val="552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18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20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опоры с закладной деталью, диаметр 159 мм:</w:t>
            </w:r>
            <w:r>
              <w:br/>
              <w:t>1. Разработка грунта;</w:t>
            </w:r>
            <w:r>
              <w:br/>
              <w:t>2. Устройство щебеночной подушки  h=200 мм, щебень фракции 20-40 мм, марки М600</w:t>
            </w:r>
            <w:r>
              <w:br/>
            </w:r>
            <w:r>
              <w:t>3. Монтаж закладной;</w:t>
            </w:r>
            <w:r>
              <w:br/>
              <w:t>4. Бетонирование закладной, бетон тяжелый класса не менее В20 F200 W6;</w:t>
            </w:r>
            <w:r>
              <w:br/>
              <w:t>5. Установка опоры</w:t>
            </w:r>
          </w:p>
        </w:tc>
      </w:tr>
      <w:tr w:rsidR="00DD79D4">
        <w:trPr>
          <w:gridBefore w:val="1"/>
          <w:trHeight w:val="666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19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опоры с закладной деталью, диаметр 133 мм:</w:t>
            </w:r>
            <w:r>
              <w:br/>
              <w:t>1. Разработка грунта;</w:t>
            </w:r>
            <w:r>
              <w:br/>
              <w:t>2. Устройство щебеночной подушки  h=200 мм, щебень фракции 20-40 м</w:t>
            </w:r>
            <w:r>
              <w:t>м, марки М600</w:t>
            </w:r>
            <w:r>
              <w:br/>
              <w:t>3. Монтаж закладной;</w:t>
            </w:r>
            <w:r>
              <w:br/>
              <w:t>4. Бетонирование закладной, бетон тяжелый класса не менее В20 F200 W6;</w:t>
            </w:r>
            <w:r>
              <w:br/>
              <w:t>5. Установка опоры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20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выносных консолей со вспомогательными материалами</w:t>
            </w:r>
          </w:p>
        </w:tc>
      </w:tr>
      <w:tr w:rsidR="00DD79D4">
        <w:trPr>
          <w:gridBefore w:val="1"/>
          <w:trHeight w:val="235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21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23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дорожных знаков на самостоятельных стойках или опорах</w:t>
            </w:r>
            <w:r>
              <w:t xml:space="preserve"> с комплектом креплений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22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24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 светофора со вспомогательными 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23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25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информационных световых секций со вспомогательными 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24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26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 повторителя сигнала светофора со вспомогательными материалами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25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27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Монтаж </w:t>
            </w:r>
            <w:r>
              <w:t>комплекса "Проекционный пешеходный переход"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26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29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и подключение пешеходного вызывного устройства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27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30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и подключение дорожного знака с внутренней подсветкой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28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и подключение устройство звукового сопровождения пешеходов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29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PTZ-камеры</w:t>
            </w:r>
          </w:p>
        </w:tc>
      </w:tr>
      <w:tr w:rsidR="00DD79D4">
        <w:trPr>
          <w:gridBefore w:val="1"/>
          <w:trHeight w:val="421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lastRenderedPageBreak/>
              <w:t>30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33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Монтаж программно-аппаратного комплекса автоматического сбора статистических данных и ситуационной аналитики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31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34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Монтаж шериф-балки 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32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35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Монтаж </w:t>
            </w:r>
            <w:proofErr w:type="spellStart"/>
            <w:r>
              <w:t>клеммной</w:t>
            </w:r>
            <w:proofErr w:type="spellEnd"/>
            <w:r>
              <w:t xml:space="preserve"> коробки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33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36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светофора к кабельной линии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34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37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повторителя сигнала светофора к кабельной линии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35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38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ИСС к кабельной линии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36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39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шериф-балки к кабельной линии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37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40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Расключение</w:t>
            </w:r>
            <w:proofErr w:type="spellEnd"/>
            <w:r>
              <w:t xml:space="preserve"> </w:t>
            </w:r>
            <w:proofErr w:type="spellStart"/>
            <w:r>
              <w:t>клеммной</w:t>
            </w:r>
            <w:proofErr w:type="spellEnd"/>
            <w:r>
              <w:t xml:space="preserve"> коробки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38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PTZ-камеры к линии питания и связи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39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Подключение комплекса "Проекционный пешеходный переход" к линии питания и связи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40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43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Расключение</w:t>
            </w:r>
            <w:proofErr w:type="spellEnd"/>
            <w:r>
              <w:t xml:space="preserve"> кабеля в шкафу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41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45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Пусконаладка</w:t>
            </w:r>
            <w:proofErr w:type="spellEnd"/>
            <w:r>
              <w:t xml:space="preserve"> PTZ-камеры</w:t>
            </w:r>
          </w:p>
        </w:tc>
      </w:tr>
      <w:tr w:rsidR="00DD79D4">
        <w:trPr>
          <w:gridBefore w:val="1"/>
          <w:trHeight w:val="444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42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46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Пусконаладка</w:t>
            </w:r>
            <w:proofErr w:type="spellEnd"/>
            <w:r>
              <w:t xml:space="preserve"> программно-аппаратного комплекса автоматического сбора статистических данных и ситуационной</w:t>
            </w:r>
            <w:r>
              <w:t xml:space="preserve"> аналитики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43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47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roofErr w:type="spellStart"/>
            <w:r>
              <w:t>Пусконаладка</w:t>
            </w:r>
            <w:proofErr w:type="spellEnd"/>
            <w:r>
              <w:t xml:space="preserve"> комплекса "Проекционный пешеходный переход" 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44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48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</w:tcPr>
          <w:p w:rsidR="00DD79D4" w:rsidRDefault="008A2851">
            <w:r>
              <w:t>Устройство заземления с восстановлением благоустройства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45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49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Функциональная проверка светофора после монтажных работ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46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50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Функциональная проверка повторителя сигнала </w:t>
            </w:r>
            <w:r>
              <w:t>светофора после монтажных работ</w:t>
            </w:r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47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51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 xml:space="preserve">Проверка наличия цепи между заземлителями и заземляющими устройствами </w:t>
            </w:r>
            <w:proofErr w:type="spellStart"/>
            <w:r>
              <w:t>электролабораторией</w:t>
            </w:r>
            <w:proofErr w:type="spellEnd"/>
          </w:p>
        </w:tc>
      </w:tr>
      <w:tr w:rsidR="00DD79D4">
        <w:trPr>
          <w:gridBefore w:val="1"/>
          <w:trHeight w:val="200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48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pPr>
              <w:jc w:val="center"/>
            </w:pPr>
            <w:r>
              <w:t>52</w:t>
            </w:r>
          </w:p>
        </w:tc>
        <w:tc>
          <w:tcPr>
            <w:tcW w:w="8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 w:rsidR="00DD79D4" w:rsidRDefault="008A2851">
            <w:r>
              <w:t>Интеграция PTZ-камер в ПО "</w:t>
            </w:r>
            <w:proofErr w:type="spellStart"/>
            <w:r>
              <w:t>Macroscop</w:t>
            </w:r>
            <w:proofErr w:type="spellEnd"/>
            <w:r>
              <w:t>"</w:t>
            </w:r>
          </w:p>
        </w:tc>
      </w:tr>
    </w:tbl>
    <w:p w:rsidR="00DD79D4" w:rsidRDefault="00DD79D4"/>
    <w:p w:rsidR="00DD79D4" w:rsidRDefault="00DD79D4"/>
    <w:p w:rsidR="00DD79D4" w:rsidRDefault="00DD79D4"/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p w:rsidR="00DD79D4" w:rsidRDefault="00DD79D4">
      <w:pPr>
        <w:spacing w:line="360" w:lineRule="auto"/>
        <w:ind w:firstLine="709"/>
        <w:jc w:val="both"/>
        <w:rPr>
          <w:b/>
        </w:rPr>
      </w:pPr>
    </w:p>
    <w:sectPr w:rsidR="00DD79D4">
      <w:headerReference w:type="even" r:id="rId8"/>
      <w:headerReference w:type="default" r:id="rId9"/>
      <w:headerReference w:type="first" r:id="rId10"/>
      <w:pgSz w:w="11906" w:h="16838"/>
      <w:pgMar w:top="1134" w:right="566" w:bottom="1134" w:left="1276" w:header="70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A2851">
      <w:r>
        <w:separator/>
      </w:r>
    </w:p>
  </w:endnote>
  <w:endnote w:type="continuationSeparator" w:id="0">
    <w:p w:rsidR="00000000" w:rsidRDefault="008A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auto"/>
    <w:pitch w:val="variable"/>
    <w:sig w:usb0="00000001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 Полужирный">
    <w:panose1 w:val="02020803070505020304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A2851">
      <w:r>
        <w:separator/>
      </w:r>
    </w:p>
  </w:footnote>
  <w:footnote w:type="continuationSeparator" w:id="0">
    <w:p w:rsidR="00000000" w:rsidRDefault="008A2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9D4" w:rsidRDefault="00DD79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9D4" w:rsidRDefault="00DD79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9D4" w:rsidRDefault="008A2851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06662"/>
    <w:multiLevelType w:val="multilevel"/>
    <w:tmpl w:val="2AE4CC7A"/>
    <w:lvl w:ilvl="0">
      <w:start w:val="1"/>
      <w:numFmt w:val="decimal"/>
      <w:pStyle w:val="1"/>
      <w:suff w:val="space"/>
      <w:lvlText w:val="Приложение %1"/>
      <w:lvlJc w:val="left"/>
      <w:pPr>
        <w:widowControl/>
        <w:tabs>
          <w:tab w:val="left" w:pos="0"/>
        </w:tabs>
        <w:ind w:firstLine="0"/>
      </w:pPr>
      <w:rPr>
        <w:rFonts w:ascii="Times New Roman" w:hAnsi="Times New Roman"/>
      </w:rPr>
    </w:lvl>
    <w:lvl w:ilvl="1">
      <w:start w:val="1"/>
      <w:numFmt w:val="decimal"/>
      <w:pStyle w:val="2"/>
      <w:suff w:val="space"/>
      <w:lvlText w:val="%2."/>
      <w:lvlJc w:val="left"/>
      <w:pPr>
        <w:widowControl/>
        <w:tabs>
          <w:tab w:val="left" w:pos="0"/>
        </w:tabs>
        <w:ind w:firstLine="709"/>
      </w:pPr>
      <w:rPr>
        <w:b/>
      </w:rPr>
    </w:lvl>
    <w:lvl w:ilvl="2">
      <w:start w:val="1"/>
      <w:numFmt w:val="decimal"/>
      <w:pStyle w:val="3"/>
      <w:suff w:val="space"/>
      <w:lvlText w:val="%2.%3."/>
      <w:lvlJc w:val="left"/>
      <w:pPr>
        <w:widowControl/>
        <w:tabs>
          <w:tab w:val="left" w:pos="0"/>
        </w:tabs>
        <w:ind w:firstLine="709"/>
      </w:pPr>
    </w:lvl>
    <w:lvl w:ilvl="3">
      <w:start w:val="1"/>
      <w:numFmt w:val="decimal"/>
      <w:pStyle w:val="4"/>
      <w:suff w:val="space"/>
      <w:lvlText w:val="%2.%3.%4."/>
      <w:lvlJc w:val="left"/>
      <w:pPr>
        <w:widowControl/>
        <w:tabs>
          <w:tab w:val="left" w:pos="0"/>
        </w:tabs>
        <w:ind w:firstLine="709"/>
      </w:pPr>
    </w:lvl>
    <w:lvl w:ilvl="4">
      <w:start w:val="1"/>
      <w:numFmt w:val="decimal"/>
      <w:suff w:val="space"/>
      <w:lvlText w:val="%2.%3.%4.%5."/>
      <w:lvlJc w:val="left"/>
      <w:pPr>
        <w:widowControl/>
        <w:tabs>
          <w:tab w:val="left" w:pos="0"/>
        </w:tabs>
        <w:ind w:firstLine="709"/>
      </w:pPr>
    </w:lvl>
    <w:lvl w:ilvl="5">
      <w:start w:val="1"/>
      <w:numFmt w:val="lowerRoman"/>
      <w:lvlText w:val="%6."/>
      <w:lvlJc w:val="right"/>
      <w:pPr>
        <w:widowControl/>
        <w:tabs>
          <w:tab w:val="left" w:pos="0"/>
        </w:tabs>
        <w:ind w:hanging="180"/>
      </w:pPr>
    </w:lvl>
    <w:lvl w:ilvl="6">
      <w:start w:val="1"/>
      <w:numFmt w:val="decimal"/>
      <w:lvlText w:val="%7."/>
      <w:lvlJc w:val="left"/>
      <w:pPr>
        <w:widowControl/>
        <w:tabs>
          <w:tab w:val="left" w:pos="0"/>
        </w:tabs>
        <w:ind w:hanging="360"/>
      </w:pPr>
    </w:lvl>
    <w:lvl w:ilvl="7">
      <w:start w:val="1"/>
      <w:numFmt w:val="lowerLetter"/>
      <w:lvlText w:val="%8."/>
      <w:lvlJc w:val="left"/>
      <w:pPr>
        <w:widowControl/>
        <w:tabs>
          <w:tab w:val="left" w:pos="0"/>
        </w:tabs>
        <w:ind w:hanging="360"/>
      </w:pPr>
    </w:lvl>
    <w:lvl w:ilvl="8">
      <w:start w:val="1"/>
      <w:numFmt w:val="lowerRoman"/>
      <w:lvlText w:val="%9."/>
      <w:lvlJc w:val="right"/>
      <w:pPr>
        <w:widowControl/>
        <w:tabs>
          <w:tab w:val="left" w:pos="0"/>
        </w:tabs>
        <w:ind w:hanging="180"/>
      </w:pPr>
    </w:lvl>
  </w:abstractNum>
  <w:abstractNum w:abstractNumId="1" w15:restartNumberingAfterBreak="0">
    <w:nsid w:val="58114DFA"/>
    <w:multiLevelType w:val="multilevel"/>
    <w:tmpl w:val="60B0D33C"/>
    <w:lvl w:ilvl="0">
      <w:start w:val="1"/>
      <w:numFmt w:val="bullet"/>
      <w:lvlText w:val="–"/>
      <w:lvlJc w:val="left"/>
      <w:pPr>
        <w:widowControl/>
        <w:tabs>
          <w:tab w:val="left" w:pos="0"/>
        </w:tabs>
        <w:ind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tabs>
          <w:tab w:val="left" w:pos="0"/>
        </w:tabs>
        <w:ind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tabs>
          <w:tab w:val="left" w:pos="0"/>
        </w:tabs>
        <w:ind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D4"/>
    <w:rsid w:val="008A2851"/>
    <w:rsid w:val="00DD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9971"/>
  <w15:docId w15:val="{425E109B-F15F-4DFB-9437-03D88E51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rFonts w:ascii="Times New Roman" w:hAnsi="Times New Roman"/>
      <w:sz w:val="24"/>
    </w:rPr>
  </w:style>
  <w:style w:type="paragraph" w:styleId="11">
    <w:name w:val="heading 1"/>
    <w:basedOn w:val="a"/>
    <w:next w:val="a"/>
    <w:link w:val="110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0">
    <w:name w:val="heading 2"/>
    <w:basedOn w:val="a"/>
    <w:next w:val="a"/>
    <w:link w:val="21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472C4" w:themeColor="accent1"/>
      <w:sz w:val="26"/>
    </w:rPr>
  </w:style>
  <w:style w:type="paragraph" w:styleId="30">
    <w:name w:val="heading 3"/>
    <w:basedOn w:val="a"/>
    <w:next w:val="a"/>
    <w:link w:val="31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472C4" w:themeColor="accent1"/>
    </w:rPr>
  </w:style>
  <w:style w:type="paragraph" w:styleId="40">
    <w:name w:val="heading 4"/>
    <w:basedOn w:val="a"/>
    <w:next w:val="a"/>
    <w:link w:val="41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472C4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color w:val="000000"/>
      <w:sz w:val="24"/>
    </w:rPr>
  </w:style>
  <w:style w:type="paragraph" w:customStyle="1" w:styleId="12">
    <w:name w:val="Замещающий текст1"/>
    <w:basedOn w:val="13"/>
    <w:link w:val="a3"/>
    <w:rPr>
      <w:color w:val="808080"/>
    </w:rPr>
  </w:style>
  <w:style w:type="character" w:styleId="a3">
    <w:name w:val="Placeholder Text"/>
    <w:basedOn w:val="a0"/>
    <w:link w:val="12"/>
    <w:rPr>
      <w:color w:val="808080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a4">
    <w:name w:val="header"/>
    <w:basedOn w:val="a"/>
    <w:link w:val="14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10"/>
    <w:link w:val="a4"/>
    <w:rPr>
      <w:rFonts w:ascii="Times New Roman" w:hAnsi="Times New Roman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4">
    <w:name w:val="Заголовок 4 Приложение"/>
    <w:basedOn w:val="40"/>
    <w:next w:val="a5"/>
    <w:link w:val="44"/>
    <w:pPr>
      <w:numPr>
        <w:ilvl w:val="3"/>
        <w:numId w:val="2"/>
      </w:numPr>
      <w:tabs>
        <w:tab w:val="left" w:pos="360"/>
        <w:tab w:val="left" w:pos="993"/>
      </w:tabs>
      <w:spacing w:before="240" w:after="240" w:line="360" w:lineRule="auto"/>
      <w:ind w:firstLine="0"/>
      <w:jc w:val="both"/>
    </w:pPr>
    <w:rPr>
      <w:rFonts w:ascii="Times New Roman" w:hAnsi="Times New Roman"/>
      <w:i w:val="0"/>
      <w:color w:val="000000"/>
    </w:rPr>
  </w:style>
  <w:style w:type="character" w:customStyle="1" w:styleId="44">
    <w:name w:val="Заголовок 4 Приложение"/>
    <w:basedOn w:val="41"/>
    <w:link w:val="4"/>
    <w:rPr>
      <w:rFonts w:ascii="Times New Roman" w:hAnsi="Times New Roman"/>
      <w:b/>
      <w:i w:val="0"/>
      <w:color w:val="00000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10"/>
    <w:link w:val="30"/>
    <w:rPr>
      <w:rFonts w:asciiTheme="majorHAnsi" w:hAnsiTheme="majorHAnsi"/>
      <w:b/>
      <w:color w:val="4472C4" w:themeColor="accent1"/>
      <w:sz w:val="24"/>
    </w:rPr>
  </w:style>
  <w:style w:type="paragraph" w:customStyle="1" w:styleId="32">
    <w:name w:val="Заголовок 3 Знак"/>
    <w:basedOn w:val="13"/>
    <w:link w:val="33"/>
    <w:rPr>
      <w:rFonts w:asciiTheme="majorHAnsi" w:hAnsiTheme="majorHAnsi"/>
      <w:b/>
      <w:color w:val="4472C4" w:themeColor="accent1"/>
      <w:sz w:val="24"/>
    </w:rPr>
  </w:style>
  <w:style w:type="character" w:customStyle="1" w:styleId="33">
    <w:name w:val="Заголовок 3 Знак"/>
    <w:basedOn w:val="a0"/>
    <w:link w:val="32"/>
    <w:rPr>
      <w:rFonts w:asciiTheme="majorHAnsi" w:hAnsiTheme="majorHAnsi"/>
      <w:b/>
      <w:color w:val="4472C4" w:themeColor="accent1"/>
      <w:sz w:val="24"/>
    </w:rPr>
  </w:style>
  <w:style w:type="paragraph" w:customStyle="1" w:styleId="24">
    <w:name w:val="Заголовок 2 Знак"/>
    <w:basedOn w:val="13"/>
    <w:link w:val="25"/>
    <w:rPr>
      <w:rFonts w:asciiTheme="majorHAnsi" w:hAnsiTheme="majorHAnsi"/>
      <w:b/>
      <w:color w:val="4472C4" w:themeColor="accent1"/>
      <w:sz w:val="26"/>
    </w:rPr>
  </w:style>
  <w:style w:type="character" w:customStyle="1" w:styleId="25">
    <w:name w:val="Заголовок 2 Знак"/>
    <w:basedOn w:val="a0"/>
    <w:link w:val="24"/>
    <w:rPr>
      <w:rFonts w:asciiTheme="majorHAnsi" w:hAnsiTheme="majorHAnsi"/>
      <w:b/>
      <w:color w:val="4472C4" w:themeColor="accent1"/>
      <w:sz w:val="26"/>
    </w:rPr>
  </w:style>
  <w:style w:type="paragraph" w:customStyle="1" w:styleId="a5">
    <w:name w:val="_Основной с красной строки"/>
    <w:basedOn w:val="a"/>
    <w:link w:val="a6"/>
    <w:pPr>
      <w:spacing w:line="360" w:lineRule="auto"/>
      <w:ind w:firstLine="709"/>
      <w:jc w:val="both"/>
    </w:pPr>
  </w:style>
  <w:style w:type="character" w:customStyle="1" w:styleId="a6">
    <w:name w:val="_Основной с красной строки"/>
    <w:basedOn w:val="10"/>
    <w:link w:val="a5"/>
    <w:rPr>
      <w:rFonts w:ascii="Times New Roman" w:hAnsi="Times New Roman"/>
      <w:color w:val="000000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styleId="a7">
    <w:name w:val="List Paragraph"/>
    <w:basedOn w:val="a"/>
    <w:link w:val="a8"/>
    <w:pPr>
      <w:contextualSpacing/>
    </w:pPr>
  </w:style>
  <w:style w:type="character" w:customStyle="1" w:styleId="a8">
    <w:name w:val="Абзац списка Знак"/>
    <w:basedOn w:val="10"/>
    <w:link w:val="a7"/>
    <w:rPr>
      <w:rFonts w:ascii="Times New Roman" w:hAnsi="Times New Roman"/>
      <w:color w:val="000000"/>
      <w:sz w:val="24"/>
    </w:rPr>
  </w:style>
  <w:style w:type="paragraph" w:styleId="34">
    <w:name w:val="toc 3"/>
    <w:next w:val="a"/>
    <w:link w:val="35"/>
    <w:uiPriority w:val="39"/>
    <w:pPr>
      <w:ind w:left="400"/>
    </w:pPr>
    <w:rPr>
      <w:rFonts w:ascii="XO Thames" w:hAnsi="XO Thames"/>
      <w:sz w:val="28"/>
    </w:rPr>
  </w:style>
  <w:style w:type="character" w:customStyle="1" w:styleId="35">
    <w:name w:val="Оглавление 3 Знак"/>
    <w:link w:val="34"/>
    <w:rPr>
      <w:rFonts w:ascii="XO Thames" w:hAnsi="XO Thames"/>
      <w:sz w:val="28"/>
    </w:rPr>
  </w:style>
  <w:style w:type="paragraph" w:styleId="a9">
    <w:name w:val="index heading"/>
    <w:basedOn w:val="a"/>
    <w:link w:val="aa"/>
  </w:style>
  <w:style w:type="character" w:customStyle="1" w:styleId="aa">
    <w:name w:val="Указатель Знак"/>
    <w:basedOn w:val="10"/>
    <w:link w:val="a9"/>
    <w:rPr>
      <w:rFonts w:ascii="Times New Roman" w:hAnsi="Times New Roman"/>
      <w:color w:val="000000"/>
      <w:sz w:val="24"/>
    </w:rPr>
  </w:style>
  <w:style w:type="paragraph" w:customStyle="1" w:styleId="15">
    <w:name w:val="Строгий1"/>
    <w:basedOn w:val="13"/>
    <w:link w:val="ab"/>
    <w:rPr>
      <w:b/>
    </w:rPr>
  </w:style>
  <w:style w:type="character" w:styleId="ab">
    <w:name w:val="Strong"/>
    <w:basedOn w:val="a0"/>
    <w:link w:val="15"/>
    <w:rPr>
      <w:b/>
    </w:rPr>
  </w:style>
  <w:style w:type="paragraph" w:customStyle="1" w:styleId="ac">
    <w:name w:val="Колонтитулы"/>
    <w:basedOn w:val="a"/>
    <w:link w:val="ad"/>
  </w:style>
  <w:style w:type="character" w:customStyle="1" w:styleId="ad">
    <w:name w:val="Колонтитулы"/>
    <w:basedOn w:val="10"/>
    <w:link w:val="ac"/>
    <w:rPr>
      <w:rFonts w:ascii="Times New Roman" w:hAnsi="Times New Roman"/>
      <w:color w:val="000000"/>
      <w:sz w:val="24"/>
    </w:rPr>
  </w:style>
  <w:style w:type="paragraph" w:customStyle="1" w:styleId="3">
    <w:name w:val="Заголовок 3 Приложение"/>
    <w:basedOn w:val="30"/>
    <w:next w:val="a5"/>
    <w:link w:val="36"/>
    <w:pPr>
      <w:numPr>
        <w:ilvl w:val="2"/>
        <w:numId w:val="2"/>
      </w:numPr>
      <w:tabs>
        <w:tab w:val="left" w:pos="360"/>
      </w:tabs>
      <w:spacing w:before="240" w:after="240" w:line="360" w:lineRule="auto"/>
      <w:ind w:firstLine="0"/>
      <w:jc w:val="both"/>
    </w:pPr>
    <w:rPr>
      <w:rFonts w:ascii="Times New Roman" w:hAnsi="Times New Roman"/>
      <w:color w:val="000000"/>
    </w:rPr>
  </w:style>
  <w:style w:type="character" w:customStyle="1" w:styleId="36">
    <w:name w:val="Заголовок 3 Приложение"/>
    <w:basedOn w:val="31"/>
    <w:link w:val="3"/>
    <w:rPr>
      <w:rFonts w:ascii="Times New Roman" w:hAnsi="Times New Roman"/>
      <w:b/>
      <w:color w:val="000000"/>
      <w:sz w:val="24"/>
    </w:rPr>
  </w:style>
  <w:style w:type="paragraph" w:customStyle="1" w:styleId="2">
    <w:name w:val="Заголовок 2 Приложение"/>
    <w:basedOn w:val="20"/>
    <w:next w:val="a5"/>
    <w:link w:val="26"/>
    <w:pPr>
      <w:numPr>
        <w:ilvl w:val="1"/>
        <w:numId w:val="2"/>
      </w:numPr>
      <w:tabs>
        <w:tab w:val="left" w:pos="360"/>
      </w:tabs>
      <w:spacing w:before="240" w:after="240" w:line="360" w:lineRule="auto"/>
      <w:ind w:firstLine="0"/>
      <w:jc w:val="both"/>
    </w:pPr>
    <w:rPr>
      <w:rFonts w:ascii="Times New Roman" w:hAnsi="Times New Roman"/>
      <w:b w:val="0"/>
      <w:color w:val="000000"/>
      <w:spacing w:val="-2"/>
      <w:sz w:val="24"/>
    </w:rPr>
  </w:style>
  <w:style w:type="character" w:customStyle="1" w:styleId="26">
    <w:name w:val="Заголовок 2 Приложение"/>
    <w:basedOn w:val="21"/>
    <w:link w:val="2"/>
    <w:rPr>
      <w:rFonts w:ascii="Times New Roman" w:hAnsi="Times New Roman"/>
      <w:b w:val="0"/>
      <w:color w:val="000000"/>
      <w:spacing w:val="-2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0">
    <w:name w:val="Заголовок 1 Знак1"/>
    <w:basedOn w:val="10"/>
    <w:link w:val="11"/>
    <w:rPr>
      <w:rFonts w:asciiTheme="majorHAnsi" w:hAnsiTheme="majorHAnsi"/>
      <w:b/>
      <w:color w:val="2F5496" w:themeColor="accent1" w:themeShade="BF"/>
      <w:sz w:val="28"/>
    </w:rPr>
  </w:style>
  <w:style w:type="paragraph" w:styleId="ae">
    <w:name w:val="caption"/>
    <w:basedOn w:val="a"/>
    <w:link w:val="af"/>
    <w:pPr>
      <w:spacing w:before="120" w:after="120"/>
    </w:pPr>
    <w:rPr>
      <w:i/>
    </w:rPr>
  </w:style>
  <w:style w:type="character" w:customStyle="1" w:styleId="af">
    <w:name w:val="Название объекта Знак"/>
    <w:basedOn w:val="10"/>
    <w:link w:val="ae"/>
    <w:rPr>
      <w:rFonts w:ascii="Times New Roman" w:hAnsi="Times New Roman"/>
      <w:i/>
      <w:color w:val="000000"/>
      <w:sz w:val="24"/>
    </w:rPr>
  </w:style>
  <w:style w:type="paragraph" w:customStyle="1" w:styleId="16">
    <w:name w:val="Гиперссылка1"/>
    <w:link w:val="af0"/>
    <w:rPr>
      <w:color w:val="0000FF"/>
      <w:u w:val="single"/>
    </w:rPr>
  </w:style>
  <w:style w:type="character" w:styleId="af0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af1">
    <w:name w:val="Верхний колонтитул Знак"/>
    <w:basedOn w:val="13"/>
    <w:link w:val="af2"/>
    <w:rPr>
      <w:rFonts w:ascii="Times New Roman" w:hAnsi="Times New Roman"/>
      <w:sz w:val="24"/>
    </w:rPr>
  </w:style>
  <w:style w:type="character" w:customStyle="1" w:styleId="af2">
    <w:name w:val="Верхний колонтитул Знак"/>
    <w:basedOn w:val="a0"/>
    <w:link w:val="af1"/>
    <w:rPr>
      <w:rFonts w:ascii="Times New Roman" w:hAnsi="Times New Roman"/>
      <w:sz w:val="24"/>
    </w:rPr>
  </w:style>
  <w:style w:type="paragraph" w:styleId="af3">
    <w:name w:val="footer"/>
    <w:basedOn w:val="a"/>
    <w:link w:val="1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10"/>
    <w:link w:val="af3"/>
    <w:rPr>
      <w:rFonts w:ascii="Times New Roman" w:hAnsi="Times New Roman"/>
      <w:color w:val="000000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4">
    <w:name w:val="Body Text"/>
    <w:basedOn w:val="a"/>
    <w:link w:val="af5"/>
    <w:pPr>
      <w:spacing w:after="140" w:line="276" w:lineRule="auto"/>
    </w:pPr>
  </w:style>
  <w:style w:type="character" w:customStyle="1" w:styleId="af5">
    <w:name w:val="Основной текст Знак"/>
    <w:basedOn w:val="10"/>
    <w:link w:val="af4"/>
    <w:rPr>
      <w:rFonts w:ascii="Times New Roman" w:hAnsi="Times New Roman"/>
      <w:color w:val="000000"/>
      <w:sz w:val="24"/>
    </w:rPr>
  </w:style>
  <w:style w:type="paragraph" w:customStyle="1" w:styleId="af6">
    <w:name w:val="_Приложение_название"/>
    <w:basedOn w:val="a"/>
    <w:next w:val="a5"/>
    <w:link w:val="af7"/>
    <w:pPr>
      <w:keepNext/>
      <w:keepLines/>
      <w:spacing w:before="240" w:after="240" w:line="360" w:lineRule="auto"/>
      <w:jc w:val="center"/>
    </w:pPr>
    <w:rPr>
      <w:rFonts w:ascii="Times New Roman Полужирный" w:hAnsi="Times New Roman Полужирный"/>
      <w:b/>
      <w:caps/>
    </w:rPr>
  </w:style>
  <w:style w:type="character" w:customStyle="1" w:styleId="af7">
    <w:name w:val="_Приложение_название"/>
    <w:basedOn w:val="10"/>
    <w:link w:val="af6"/>
    <w:rPr>
      <w:rFonts w:ascii="Times New Roman Полужирный" w:hAnsi="Times New Roman Полужирный"/>
      <w:b/>
      <w:caps/>
      <w:color w:val="000000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8">
    <w:name w:val="No Spacing"/>
    <w:link w:val="af9"/>
    <w:rPr>
      <w:rFonts w:ascii="Times New Roman" w:hAnsi="Times New Roman"/>
      <w:sz w:val="24"/>
    </w:rPr>
  </w:style>
  <w:style w:type="character" w:customStyle="1" w:styleId="af9">
    <w:name w:val="Без интервала Знак"/>
    <w:link w:val="af8"/>
    <w:rPr>
      <w:rFonts w:ascii="Times New Roman" w:hAnsi="Times New Roman"/>
      <w:color w:val="000000"/>
      <w:sz w:val="24"/>
    </w:rPr>
  </w:style>
  <w:style w:type="paragraph" w:styleId="afa">
    <w:name w:val="List"/>
    <w:basedOn w:val="af4"/>
    <w:link w:val="afb"/>
  </w:style>
  <w:style w:type="character" w:customStyle="1" w:styleId="afb">
    <w:name w:val="Список Знак"/>
    <w:basedOn w:val="af5"/>
    <w:link w:val="afa"/>
    <w:rPr>
      <w:rFonts w:ascii="Times New Roman" w:hAnsi="Times New Roman"/>
      <w:color w:val="000000"/>
      <w:sz w:val="24"/>
    </w:rPr>
  </w:style>
  <w:style w:type="paragraph" w:customStyle="1" w:styleId="1a">
    <w:name w:val="Заголовок 1 Знак"/>
    <w:basedOn w:val="13"/>
    <w:link w:val="1b"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1b">
    <w:name w:val="Заголовок 1 Знак"/>
    <w:basedOn w:val="a0"/>
    <w:link w:val="1a"/>
    <w:rPr>
      <w:rFonts w:asciiTheme="majorHAnsi" w:hAnsiTheme="majorHAnsi"/>
      <w:b/>
      <w:color w:val="2F5496" w:themeColor="accent1" w:themeShade="BF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45">
    <w:name w:val="Заголовок 4 Знак"/>
    <w:basedOn w:val="13"/>
    <w:link w:val="46"/>
    <w:rPr>
      <w:rFonts w:asciiTheme="majorHAnsi" w:hAnsiTheme="majorHAnsi"/>
      <w:b/>
      <w:i/>
      <w:color w:val="4472C4" w:themeColor="accent1"/>
      <w:sz w:val="24"/>
    </w:rPr>
  </w:style>
  <w:style w:type="character" w:customStyle="1" w:styleId="46">
    <w:name w:val="Заголовок 4 Знак"/>
    <w:basedOn w:val="a0"/>
    <w:link w:val="45"/>
    <w:rPr>
      <w:rFonts w:asciiTheme="majorHAnsi" w:hAnsiTheme="majorHAnsi"/>
      <w:b/>
      <w:i/>
      <w:color w:val="4472C4" w:themeColor="accent1"/>
      <w:sz w:val="24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c">
    <w:name w:val="Заголовок1"/>
    <w:basedOn w:val="10"/>
    <w:rPr>
      <w:rFonts w:ascii="Liberation Sans" w:hAnsi="Liberation Sans"/>
      <w:color w:val="000000"/>
      <w:sz w:val="28"/>
    </w:rPr>
  </w:style>
  <w:style w:type="paragraph" w:styleId="afe">
    <w:name w:val="Balloon Text"/>
    <w:basedOn w:val="a"/>
    <w:link w:val="aff"/>
    <w:rPr>
      <w:rFonts w:ascii="Tahoma" w:hAnsi="Tahoma"/>
      <w:sz w:val="16"/>
    </w:rPr>
  </w:style>
  <w:style w:type="character" w:customStyle="1" w:styleId="aff">
    <w:name w:val="Текст выноски Знак"/>
    <w:basedOn w:val="10"/>
    <w:link w:val="afe"/>
    <w:rPr>
      <w:rFonts w:ascii="Tahoma" w:hAnsi="Tahoma"/>
      <w:color w:val="000000"/>
      <w:sz w:val="16"/>
    </w:rPr>
  </w:style>
  <w:style w:type="paragraph" w:styleId="aff0">
    <w:name w:val="Subtitle"/>
    <w:next w:val="a"/>
    <w:link w:val="a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sz w:val="24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10"/>
    <w:link w:val="40"/>
    <w:rPr>
      <w:rFonts w:asciiTheme="majorHAnsi" w:hAnsiTheme="majorHAnsi"/>
      <w:b/>
      <w:i/>
      <w:color w:val="4472C4" w:themeColor="accent1"/>
      <w:sz w:val="24"/>
    </w:rPr>
  </w:style>
  <w:style w:type="character" w:customStyle="1" w:styleId="21">
    <w:name w:val="Заголовок 2 Знак1"/>
    <w:basedOn w:val="10"/>
    <w:link w:val="20"/>
    <w:rPr>
      <w:rFonts w:asciiTheme="majorHAnsi" w:hAnsiTheme="majorHAnsi"/>
      <w:b/>
      <w:color w:val="4472C4" w:themeColor="accent1"/>
      <w:sz w:val="26"/>
    </w:rPr>
  </w:style>
  <w:style w:type="paragraph" w:customStyle="1" w:styleId="13">
    <w:name w:val="Основной шрифт абзаца1"/>
    <w:link w:val="1"/>
  </w:style>
  <w:style w:type="paragraph" w:customStyle="1" w:styleId="1">
    <w:name w:val="Заголовок 1 Приложение"/>
    <w:basedOn w:val="11"/>
    <w:next w:val="af6"/>
    <w:link w:val="1d"/>
    <w:pPr>
      <w:pageBreakBefore/>
      <w:numPr>
        <w:numId w:val="2"/>
      </w:numPr>
      <w:tabs>
        <w:tab w:val="left" w:pos="360"/>
      </w:tabs>
      <w:spacing w:before="240" w:after="240" w:line="360" w:lineRule="auto"/>
      <w:jc w:val="center"/>
    </w:pPr>
    <w:rPr>
      <w:rFonts w:ascii="Times New Roman Полужирный" w:hAnsi="Times New Roman Полужирный"/>
      <w:caps/>
      <w:color w:val="000000"/>
      <w:sz w:val="24"/>
    </w:rPr>
  </w:style>
  <w:style w:type="character" w:customStyle="1" w:styleId="1d">
    <w:name w:val="Заголовок 1 Приложение"/>
    <w:basedOn w:val="110"/>
    <w:link w:val="1"/>
    <w:rPr>
      <w:rFonts w:ascii="Times New Roman Полужирный" w:hAnsi="Times New Roman Полужирный"/>
      <w:b/>
      <w:caps/>
      <w:color w:val="000000"/>
      <w:sz w:val="24"/>
    </w:rPr>
  </w:style>
  <w:style w:type="paragraph" w:customStyle="1" w:styleId="53">
    <w:name w:val="Заголовок 5 Приложение"/>
    <w:basedOn w:val="4"/>
    <w:next w:val="a5"/>
    <w:link w:val="54"/>
    <w:pPr>
      <w:outlineLvl w:val="4"/>
    </w:pPr>
  </w:style>
  <w:style w:type="character" w:customStyle="1" w:styleId="54">
    <w:name w:val="Заголовок 5 Приложение"/>
    <w:basedOn w:val="44"/>
    <w:link w:val="53"/>
    <w:rPr>
      <w:rFonts w:ascii="Times New Roman" w:hAnsi="Times New Roman"/>
      <w:b/>
      <w:i w:val="0"/>
      <w:color w:val="000000"/>
      <w:sz w:val="24"/>
    </w:rPr>
  </w:style>
  <w:style w:type="paragraph" w:customStyle="1" w:styleId="aff2">
    <w:name w:val="Нижний колонтитул Знак"/>
    <w:basedOn w:val="13"/>
    <w:link w:val="aff3"/>
    <w:rPr>
      <w:rFonts w:ascii="Times New Roman" w:hAnsi="Times New Roman"/>
      <w:sz w:val="24"/>
    </w:rPr>
  </w:style>
  <w:style w:type="character" w:customStyle="1" w:styleId="aff3">
    <w:name w:val="Нижний колонтитул Знак"/>
    <w:basedOn w:val="a0"/>
    <w:link w:val="aff2"/>
    <w:rPr>
      <w:rFonts w:ascii="Times New Roman" w:hAnsi="Times New Roman"/>
      <w:sz w:val="24"/>
    </w:rPr>
  </w:style>
  <w:style w:type="table" w:styleId="a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#_bla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5611</Words>
  <Characters>31986</Characters>
  <Application>Microsoft Office Word</Application>
  <DocSecurity>0</DocSecurity>
  <Lines>266</Lines>
  <Paragraphs>75</Paragraphs>
  <ScaleCrop>false</ScaleCrop>
  <Company>ПАО "Ростелеком"</Company>
  <LinksUpToDate>false</LinksUpToDate>
  <CharactersWithSpaces>37522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Григорьева Светлана Вячеславовна</cp:lastModifiedBy>
  <cp:revision>2</cp:revision>
  <dcterms:created xsi:type="dcterms:W3CDTF">2026-06-29T07:59:00Z</dcterms:created>
  <dcterms:modified xsi:type="dcterms:W3CDTF">2026-06-30T08:23:00Z</dcterms:modified>
</cp:coreProperties>
</file>